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 ContentType="application/octet-stream"/>
  <Override PartName="/word/media/image1.jpeg" ContentType="image/jpe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Microsoft YaHei" w:hAnsi="Microsoft YaHei" w:eastAsia="Microsoft YaHei" w:cs="Microsoft YaHei"/>
          <w:i w:val="false"/>
          <w:b w:val="true"/>
          <w:u w:val="none"/>
          <w:sz w:val="52"/>
          <w:szCs w:val="52"/>
          <w:color w:val="000000"/>
        </w:rPr>
        <w:t xml:space="preserve">生信分析报告</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  项目标题：</w:t>
      </w:r>
      <w:r>
        <w:rPr>
          <w:rFonts w:ascii="SimSun" w:hAnsi="SimSun" w:eastAsia="SimSun" w:cs="SimSun"/>
          <w:i w:val="false"/>
          <w:b w:val="true"/>
          <w:u w:val="single"/>
          <w:sz w:val="28"/>
          <w:szCs w:val="28"/>
          <w:color w:val="000000"/>
        </w:rPr>
        <w:t xml:space="preserve">基于血小板RNA测序数据预测早期肺癌潜在生物标志物</w:t>
      </w:r>
    </w:p>
    <w:p>
      <w:pPr>
        <w:pStyle w:val="Normal"/>
        <w:jc w:val="left"/>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  单    号：</w:t>
      </w:r>
      <w:r>
        <w:rPr>
          <w:rFonts w:ascii="SimSun" w:hAnsi="SimSun" w:eastAsia="SimSun" w:cs="SimSun"/>
          <w:i w:val="false"/>
          <w:b w:val="true"/>
          <w:u w:val="single"/>
          <w:sz w:val="28"/>
          <w:szCs w:val="28"/>
          <w:color w:val="000000"/>
        </w:rPr>
        <w:t xml:space="preserve">BSXG240327</w:t>
      </w:r>
    </w:p>
    <w:p>
      <w:pPr>
        <w:pStyle w:val="Normal"/>
        <w:jc w:val="left"/>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  分析人员：</w:t>
      </w:r>
      <w:r>
        <w:rPr>
          <w:rFonts w:ascii="SimSun" w:hAnsi="SimSun" w:eastAsia="SimSun" w:cs="SimSun"/>
          <w:i w:val="false"/>
          <w:b w:val="true"/>
          <w:u w:val="single"/>
          <w:sz w:val="28"/>
          <w:szCs w:val="28"/>
          <w:color w:val="000000"/>
        </w:rPr>
        <w:t xml:space="preserve">黄礼闯</w:t>
      </w:r>
    </w:p>
    <w:p>
      <w:pPr>
        <w:pStyle w:val="Normal"/>
        <w:jc w:val="left"/>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  分析类型：</w:t>
      </w:r>
      <w:r>
        <w:rPr>
          <w:rFonts w:ascii="SimSun" w:hAnsi="SimSun" w:eastAsia="SimSun" w:cs="SimSun"/>
          <w:i w:val="false"/>
          <w:b w:val="true"/>
          <w:u w:val="single"/>
          <w:sz w:val="28"/>
          <w:szCs w:val="28"/>
          <w:color w:val="000000"/>
        </w:rPr>
        <w:t xml:space="preserve">补充分析</w:t>
      </w:r>
    </w:p>
    <w:p>
      <w:pPr>
        <w:pStyle w:val="Normal"/>
        <w:jc w:val="left"/>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  委 托 人：</w:t>
      </w:r>
      <w:r>
        <w:rPr>
          <w:rFonts w:ascii="SimSun" w:hAnsi="SimSun" w:eastAsia="SimSun" w:cs="SimSun"/>
          <w:i w:val="false"/>
          <w:b w:val="true"/>
          <w:u w:val="single"/>
          <w:sz w:val="28"/>
          <w:szCs w:val="28"/>
          <w:color w:val="000000"/>
        </w:rPr>
        <w:t xml:space="preserve">陈立茂</w:t>
      </w:r>
    </w:p>
    <w:p>
      <w:pPr>
        <w:pStyle w:val="Normal"/>
        <w:jc w:val="left"/>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SimSun" w:hAnsi="SimSun" w:eastAsia="SimSun" w:cs="SimSun"/>
          <w:i w:val="false"/>
          <w:b w:val="true"/>
          <w:u w:val="none"/>
          <w:sz w:val="28"/>
          <w:szCs w:val="28"/>
          <w:color w:val="000000"/>
        </w:rPr>
        <w:t xml:space="preserve">  受 托 人：</w:t>
      </w:r>
      <w:r>
        <w:rPr>
          <w:rFonts w:ascii="SimSun" w:hAnsi="SimSun" w:eastAsia="SimSun" w:cs="SimSun"/>
          <w:i w:val="false"/>
          <w:b w:val="true"/>
          <w:u w:val="single"/>
          <w:sz w:val="28"/>
          <w:szCs w:val="28"/>
          <w:color w:val="000000"/>
        </w:rPr>
        <w:t xml:space="preserve">杭州铂赛生物科技有限公司</w:t>
      </w:r>
    </w:p>
    <w:p>
      <w:r>
        <w:br w:type="page"/>
      </w:r>
    </w:p>
    <w:p>
      <w:pPr>
        <w:pStyle w:val="2"/>
      </w:pPr>
      <w:bookmarkStart w:id="20" w:name="abstract"/>
      <w:r>
        <w:t xml:space="preserve">1	分析流程</w:t>
      </w:r>
      <w:bookmarkEnd w:id="20"/>
    </w:p>
    <w:p>
      <w:pPr>
        <w:pStyle w:val="38"/>
      </w:pPr>
      <w:r>
        <w:t xml:space="preserve">该分析思路与 (2023,</w:t>
      </w:r>
      <w:r>
        <w:t xml:space="preserve"> </w:t>
      </w:r>
      <w:r>
        <w:rPr>
          <w:b/>
        </w:rPr>
        <w:t xml:space="preserve">IF:4.8</w:t>
      </w:r>
      <w:r>
        <w:t xml:space="preserve">, Q1, Biomolecules)</w:t>
      </w:r>
      <w:r>
        <w:rPr>
          <w:vertAlign w:val="superscript"/>
        </w:rPr>
        <w:t xml:space="preserve">1</w:t>
      </w:r>
      <w:r>
        <w:t xml:space="preserve"> </w:t>
      </w:r>
      <w:r>
        <w:t xml:space="preserve">相似。</w:t>
      </w:r>
    </w:p>
    <w:p>
      <w:pPr>
        <w:pStyle w:val="3"/>
      </w:pPr>
      <w:r>
        <w:rPr/>
        <w:drawing>
          <wp:inline distT="0" distB="0" distL="0" distR="0">
            <wp:extent cx="5669280" cy="4251960"/>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54"/>
                    <a:stretch>
                      <a:fillRect/>
                    </a:stretch>
                  </pic:blipFill>
                  <pic:spPr bwMode="auto">
                    <a:xfrm>
                      <a:off x="0" y="0"/>
                      <a:ext cx="78740" cy="59055"/>
                    </a:xfrm>
                    <a:prstGeom prst="rect">
                      <a:avLst/>
                    </a:prstGeom>
                    <a:noFill/>
                  </pic:spPr>
                </pic:pic>
              </a:graphicData>
            </a:graphic>
          </wp:inline>
        </w:drawing>
      </w:r>
    </w:p>
    <w:p>
      <w:pPr>
        <w:pStyle w:val="2"/>
      </w:pPr>
      <w:bookmarkStart w:id="21" w:name="introduction"/>
      <w:r>
        <w:t xml:space="preserve">2	材料和方法</w:t>
      </w:r>
      <w:bookmarkEnd w:id="21"/>
    </w:p>
    <w:p>
      <w:pPr>
        <w:pStyle w:val="4"/>
      </w:pPr>
      <w:bookmarkStart w:id="22" w:name="数据分析平台"/>
      <w:r>
        <w:t xml:space="preserve">2.1	数据分析平台</w:t>
      </w:r>
      <w:bookmarkEnd w:id="22"/>
    </w:p>
    <w:p>
      <w:pPr>
        <w:pStyle w:val="38"/>
      </w:pPr>
      <w:r>
        <w:t xml:space="preserve">在 Linux pop-os x86_64 (6.9.3-76060903-generic) 上，使用 R version 4.4.2 (2024-10-31) (</w:t>
      </w:r>
      <w:hyperlink r:id="rId23">
        <w:r>
          <w:rPr>
            <w:rStyle w:val="24"/>
          </w:rPr>
          <w:t xml:space="preserve">https://www.r-project.org/</w:t>
        </w:r>
      </w:hyperlink>
      <w:r>
        <w:t xml:space="preserve">) 对数据统计分析与整合分析。</w:t>
      </w:r>
    </w:p>
    <w:p>
      <w:pPr>
        <w:pStyle w:val="4"/>
      </w:pPr>
      <w:bookmarkStart w:id="24" w:name="biomart-基因注释-dataset-all"/>
      <w:r>
        <w:t xml:space="preserve">2.2	Biomart 基因注释 (Dataset: ALL)</w:t>
      </w:r>
      <w:bookmarkEnd w:id="24"/>
    </w:p>
    <w:p>
      <w:pPr>
        <w:pStyle w:val="38"/>
      </w:pPr>
      <w:r>
        <w:t xml:space="preserve">以 R 包</w:t>
      </w:r>
      <w:r>
        <w:t xml:space="preserve"> </w:t>
      </w:r>
      <w:r>
        <w:rPr>
          <w:rStyle w:val="197"/>
        </w:rPr>
        <w:t xml:space="preserve">biomaRt</w:t>
      </w:r>
      <w:r>
        <w:t xml:space="preserve"> </w:t>
      </w:r>
      <w:r>
        <w:t xml:space="preserve">(2.62.0) 对基因进行注释，获取各数据库 ID 或注释信息，以备后续分析。</w:t>
      </w:r>
    </w:p>
    <w:p>
      <w:pPr>
        <w:pStyle w:val="4"/>
      </w:pPr>
      <w:bookmarkStart w:id="25" w:name="limma-差异分析-dataset-mrna"/>
      <w:r>
        <w:t xml:space="preserve">2.3	Limma 差异分析 (Dataset: MRNA)</w:t>
      </w:r>
      <w:bookmarkEnd w:id="25"/>
    </w:p>
    <w:p>
      <w:pPr>
        <w:pStyle w:val="38"/>
      </w:pPr>
      <w:r>
        <w:t xml:space="preserve">以 R 包</w:t>
      </w:r>
      <w:r>
        <w:t xml:space="preserve"> </w:t>
      </w:r>
      <w:r>
        <w:rPr>
          <w:rStyle w:val="197"/>
        </w:rPr>
        <w:t xml:space="preserve">limma</w:t>
      </w:r>
      <w:r>
        <w:t xml:space="preserve"> </w:t>
      </w:r>
      <w:r>
        <w:t xml:space="preserve">(3.62.1) (2005,</w:t>
      </w:r>
      <w:r>
        <w:t xml:space="preserve"> </w:t>
      </w:r>
      <w:r>
        <w:rPr>
          <w:b/>
        </w:rPr>
        <w:t xml:space="preserve">IF:</w:t>
      </w:r>
      <w:r>
        <w:t xml:space="preserve">, , )</w:t>
      </w:r>
      <w:r>
        <w:rPr>
          <w:vertAlign w:val="superscript"/>
        </w:rPr>
        <w:t xml:space="preserve">2</w:t>
      </w:r>
      <w:r>
        <w:t xml:space="preserve"> </w:t>
      </w:r>
      <w:r>
        <w:rPr>
          <w:rStyle w:val="197"/>
        </w:rPr>
        <w:t xml:space="preserve">edgeR</w:t>
      </w:r>
      <w:r>
        <w:t xml:space="preserve"> </w:t>
      </w:r>
      <w:r>
        <w:t xml:space="preserve">(4.4.0) (,</w:t>
      </w:r>
      <w:r>
        <w:t xml:space="preserve"> </w:t>
      </w:r>
      <w:r>
        <w:rPr>
          <w:b/>
        </w:rPr>
        <w:t xml:space="preserve">IF:</w:t>
      </w:r>
      <w:r>
        <w:t xml:space="preserve">, , )</w:t>
      </w:r>
      <w:r>
        <w:rPr>
          <w:vertAlign w:val="superscript"/>
        </w:rPr>
        <w:t xml:space="preserve">3</w:t>
      </w:r>
      <w:r>
        <w:t xml:space="preserve"> </w:t>
      </w:r>
      <w:r>
        <w:t xml:space="preserve">进行差异分析。以</w:t>
      </w:r>
      <w:r>
        <w:t xml:space="preserve"> </w:t>
      </w:r>
      <w:r>
        <w:rPr>
          <w:rStyle w:val="197"/>
        </w:rPr>
        <w:t xml:space="preserve">edgeR::filterByExpr</w:t>
      </w:r>
      <w:r>
        <w:t xml:space="preserve"> </w:t>
      </w:r>
      <w:r>
        <w:t xml:space="preserve">过于 count 数量小于 10 的基因。以</w:t>
      </w:r>
      <w:r>
        <w:t xml:space="preserve"> </w:t>
      </w:r>
      <w:r>
        <w:rPr>
          <w:rStyle w:val="197"/>
        </w:rPr>
        <w:t xml:space="preserve">edgeR::calcNormFactors</w:t>
      </w:r>
      <w:r>
        <w:t xml:space="preserve">，</w:t>
      </w:r>
      <w:r>
        <w:rPr>
          <w:rStyle w:val="197"/>
        </w:rPr>
        <w:t xml:space="preserve">limma::voom</w:t>
      </w:r>
      <w:r>
        <w:t xml:space="preserve"> </w:t>
      </w:r>
      <w:r>
        <w:t xml:space="preserve">转化 count 数据为 log2 counts-per-million (logCPM)。分析方法参考</w:t>
      </w:r>
      <w:r>
        <w:t xml:space="preserve"> </w:t>
      </w:r>
      <w:hyperlink r:id="rId26">
        <w:r>
          <w:rPr>
            <w:rStyle w:val="24"/>
          </w:rPr>
          <w:t xml:space="preserve">https://bioconductor.org/packages/release/workflows/vignettes/RNAseq123/inst/doc/limmaWorkflow.html</w:t>
        </w:r>
      </w:hyperlink>
      <w:r>
        <w:t xml:space="preserve">。</w:t>
      </w:r>
      <w:r>
        <w:t xml:space="preserve"> </w:t>
      </w:r>
      <w:r>
        <w:t xml:space="preserve">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差异分析对比组：Early_stage vs Healthy, Advanced_stage vs Healthy, Advanced_stage vs Early_stage。以</w:t>
      </w:r>
      <w:r>
        <w:t xml:space="preserve"> </w:t>
      </w:r>
      <w:r>
        <w:rPr>
          <w:rStyle w:val="197"/>
        </w:rPr>
        <w:t xml:space="preserve">limma::topTable</w:t>
      </w:r>
      <w:r>
        <w:t xml:space="preserve"> </w:t>
      </w:r>
      <w:r>
        <w:t xml:space="preserve">提取所有结果，并过滤得到 adj.P.Val 小于 0.05，|Log2(FC)| 大于 1 的统计结果。</w:t>
      </w:r>
    </w:p>
    <w:p>
      <w:pPr>
        <w:pStyle w:val="4"/>
      </w:pPr>
      <w:bookmarkStart w:id="27" w:name="mfuzz-聚类分析-dataset-mrna"/>
      <w:r>
        <w:t xml:space="preserve">2.4	Mfuzz 聚类分析 (Dataset: MRNA)</w:t>
      </w:r>
      <w:bookmarkEnd w:id="27"/>
    </w:p>
    <w:p>
      <w:pPr>
        <w:pStyle w:val="38"/>
      </w:pPr>
      <w:r>
        <w:t xml:space="preserve">以 R 包</w:t>
      </w:r>
      <w:r>
        <w:t xml:space="preserve"> </w:t>
      </w:r>
      <w:r>
        <w:rPr>
          <w:rStyle w:val="197"/>
        </w:rPr>
        <w:t xml:space="preserve">Mfuzz</w:t>
      </w:r>
      <w:r>
        <w:t xml:space="preserve"> </w:t>
      </w:r>
      <w:r>
        <w:t xml:space="preserve">(2.66.0) (,</w:t>
      </w:r>
      <w:r>
        <w:t xml:space="preserve"> </w:t>
      </w:r>
      <w:r>
        <w:rPr>
          <w:b/>
        </w:rPr>
        <w:t xml:space="preserve">IF:</w:t>
      </w:r>
      <w:r>
        <w:t xml:space="preserve">, , )</w:t>
      </w:r>
      <w:r>
        <w:rPr>
          <w:vertAlign w:val="superscript"/>
        </w:rPr>
        <w:t xml:space="preserve">4</w:t>
      </w:r>
      <w:r>
        <w:t xml:space="preserve"> </w:t>
      </w:r>
      <w:r>
        <w:t xml:space="preserve">对基因聚类分析，设定 fuzzification 参数为 3.73540696993324 (以</w:t>
      </w:r>
      <w:r>
        <w:t xml:space="preserve"> </w:t>
      </w:r>
      <w:r>
        <w:rPr>
          <w:rStyle w:val="197"/>
        </w:rPr>
        <w:t xml:space="preserve">Mfuzz::mestimate</w:t>
      </w:r>
      <w:r>
        <w:t xml:space="preserve"> </w:t>
      </w:r>
      <w:r>
        <w:t xml:space="preserve">预估) ，得到 8 个聚类。</w:t>
      </w:r>
    </w:p>
    <w:p>
      <w:pPr>
        <w:pStyle w:val="4"/>
      </w:pPr>
      <w:bookmarkStart w:id="28" w:name="富集分析-dataset-mrna"/>
      <w:r>
        <w:t xml:space="preserve">2.5	富集分析 (Dataset: MRNA)</w:t>
      </w:r>
      <w:bookmarkEnd w:id="28"/>
    </w:p>
    <w:p>
      <w:pPr>
        <w:pStyle w:val="38"/>
      </w:pPr>
      <w:r>
        <w:t xml:space="preserve">以 ClusterProfiler R 包 (4.15.0.2) (2021,</w:t>
      </w:r>
      <w:r>
        <w:t xml:space="preserve"> </w:t>
      </w:r>
      <w:r>
        <w:rPr>
          <w:b/>
        </w:rPr>
        <w:t xml:space="preserve">IF:33.2</w:t>
      </w:r>
      <w:r>
        <w:t xml:space="preserve">, Q1, The Innovation)</w:t>
      </w:r>
      <w:r>
        <w:rPr>
          <w:vertAlign w:val="superscript"/>
        </w:rPr>
        <w:t xml:space="preserve">5</w:t>
      </w:r>
      <w:r>
        <w:t xml:space="preserve">进行 KEGG 和 GO 富集分析。</w:t>
      </w:r>
    </w:p>
    <w:p>
      <w:pPr>
        <w:pStyle w:val="4"/>
      </w:pPr>
      <w:bookmarkStart w:id="29" w:name="tcga-数据获取-dataset-lusc"/>
      <w:r>
        <w:t xml:space="preserve">2.6	TCGA 数据获取 (Dataset: LUSC)</w:t>
      </w:r>
      <w:bookmarkEnd w:id="29"/>
    </w:p>
    <w:p>
      <w:pPr>
        <w:pStyle w:val="38"/>
      </w:pPr>
      <w:r>
        <w:t xml:space="preserve">以 R 包</w:t>
      </w:r>
      <w:r>
        <w:t xml:space="preserve"> </w:t>
      </w:r>
      <w:r>
        <w:rPr>
          <w:rStyle w:val="197"/>
        </w:rPr>
        <w:t xml:space="preserve">TCGAbiolinks</w:t>
      </w:r>
      <w:r>
        <w:t xml:space="preserve"> </w:t>
      </w:r>
      <w:r>
        <w:t xml:space="preserve">(2.34.0) (2015,</w:t>
      </w:r>
      <w:r>
        <w:t xml:space="preserve"> </w:t>
      </w:r>
      <w:r>
        <w:rPr>
          <w:b/>
        </w:rPr>
        <w:t xml:space="preserve">IF:16.6</w:t>
      </w:r>
      <w:r>
        <w:t xml:space="preserve">, Q1, Nucleic Acids Research)</w:t>
      </w:r>
      <w:r>
        <w:rPr>
          <w:vertAlign w:val="superscript"/>
        </w:rPr>
        <w:t xml:space="preserve">6</w:t>
      </w:r>
      <w:r>
        <w:t xml:space="preserve"> </w:t>
      </w:r>
      <w:r>
        <w:t xml:space="preserve">获取 TCGA 数据集。</w:t>
      </w:r>
    </w:p>
    <w:p>
      <w:pPr>
        <w:pStyle w:val="3"/>
      </w:pPr>
      <w:r>
        <w:t xml:space="preserve">以 R 包</w:t>
      </w:r>
      <w:r>
        <w:t xml:space="preserve"> </w:t>
      </w:r>
      <w:r>
        <w:rPr>
          <w:rStyle w:val="197"/>
        </w:rPr>
        <w:t xml:space="preserve">EFS</w:t>
      </w:r>
      <w:r>
        <w:t xml:space="preserve"> </w:t>
      </w:r>
      <w:r>
        <w:t xml:space="preserve">(1.0.3) (2017,</w:t>
      </w:r>
      <w:r>
        <w:t xml:space="preserve"> </w:t>
      </w:r>
      <w:r>
        <w:rPr>
          <w:b/>
        </w:rPr>
        <w:t xml:space="preserve">IF:4</w:t>
      </w:r>
      <w:r>
        <w:t xml:space="preserve">, Q1, BioData Mining)</w:t>
      </w:r>
      <w:r>
        <w:rPr>
          <w:vertAlign w:val="superscript"/>
        </w:rPr>
        <w:t xml:space="preserve">7</w:t>
      </w:r>
      <w:r>
        <w:t xml:space="preserve"> </w:t>
      </w:r>
      <w:r>
        <w:t xml:space="preserve">筛选关键基因。</w:t>
      </w:r>
      <w:r>
        <w:t xml:space="preserve"> </w:t>
      </w:r>
      <w:r>
        <w:t xml:space="preserve">以 R 包</w:t>
      </w:r>
      <w:r>
        <w:t xml:space="preserve"> </w:t>
      </w:r>
      <w:r>
        <w:rPr>
          <w:rStyle w:val="197"/>
        </w:rPr>
        <w:t xml:space="preserve">survival</w:t>
      </w:r>
      <w:r>
        <w:t xml:space="preserve"> </w:t>
      </w:r>
      <w:r>
        <w:t xml:space="preserve">(3.7.0) 进行单因素 COX 回归 (</w:t>
      </w:r>
      <w:r>
        <w:rPr>
          <w:rStyle w:val="197"/>
        </w:rPr>
        <w:t xml:space="preserve">survival::coxph</w:t>
      </w:r>
      <w:r>
        <w:t xml:space="preserve">)。筛选</w:t>
      </w:r>
      <w:r>
        <w:t xml:space="preserve"> </w:t>
      </w:r>
      <w:r>
        <w:rPr>
          <w:rStyle w:val="197"/>
        </w:rPr>
        <w:t xml:space="preserve">Pr(&gt;|z|)</w:t>
      </w:r>
      <w:r>
        <w:t xml:space="preserve"> </w:t>
      </w:r>
      <w:r>
        <w:t xml:space="preserve">&lt; .05` 的基因。</w:t>
      </w:r>
    </w:p>
    <w:p>
      <w:pPr>
        <w:pStyle w:val="3"/>
      </w:pPr>
      <w:r>
        <w:t xml:space="preserve">数据源自 TCGA-LUSC，筛选 AJCC Stage (ajcc_pathologic_stage) 为 Stage I, Stage II 的病人，并且 days_to_last_follow_up 大于 10 天，且为肿瘤组织的样本。</w:t>
      </w:r>
    </w:p>
    <w:p>
      <w:pPr>
        <w:pStyle w:val="4"/>
      </w:pPr>
      <w:bookmarkStart w:id="30" w:name="survival-生存分析-dataset-lusc"/>
      <w:r>
        <w:t xml:space="preserve">2.7	Survival 生存分析 (Dataset: LUSC)</w:t>
      </w:r>
      <w:bookmarkEnd w:id="30"/>
    </w:p>
    <w:p>
      <w:pPr>
        <w:pStyle w:val="38"/>
      </w:pPr>
      <w:r>
        <w:t xml:space="preserve">将 Univariate COX 回归系数用于风险评分计算，根据中位风险评分 0.0797187407744678 将患者分为低危组和高危组。</w:t>
      </w:r>
      <w:r>
        <w:t xml:space="preserve"> </w:t>
      </w:r>
      <w:r>
        <w:t xml:space="preserve">以 R 包</w:t>
      </w:r>
      <w:r>
        <w:t xml:space="preserve"> </w:t>
      </w:r>
      <w:r>
        <w:rPr>
          <w:rStyle w:val="197"/>
        </w:rPr>
        <w:t xml:space="preserve">survival</w:t>
      </w:r>
      <w:r>
        <w:t xml:space="preserve"> </w:t>
      </w:r>
      <w:r>
        <w:t xml:space="preserve">(3.7.0) 生存分析，以 R 包</w:t>
      </w:r>
      <w:r>
        <w:t xml:space="preserve"> </w:t>
      </w:r>
      <w:r>
        <w:rPr>
          <w:rStyle w:val="197"/>
        </w:rPr>
        <w:t xml:space="preserve">survminer</w:t>
      </w:r>
      <w:r>
        <w:t xml:space="preserve"> </w:t>
      </w:r>
      <w:r>
        <w:t xml:space="preserve">(0.5.0) 绘制生存曲线。以 R 包</w:t>
      </w:r>
      <w:r>
        <w:t xml:space="preserve"> </w:t>
      </w:r>
      <w:r>
        <w:rPr>
          <w:rStyle w:val="197"/>
        </w:rPr>
        <w:t xml:space="preserve">timeROC</w:t>
      </w:r>
      <w:r>
        <w:t xml:space="preserve"> </w:t>
      </w:r>
      <w:r>
        <w:t xml:space="preserve">(0.4) 绘制 1, 3, 5 年生存曲线。</w:t>
      </w:r>
    </w:p>
    <w:p>
      <w:pPr>
        <w:pStyle w:val="4"/>
      </w:pPr>
      <w:bookmarkStart w:id="31" w:name="cox-回归-dataset-prog"/>
      <w:r>
        <w:t xml:space="preserve">2.8	COX 回归 (Dataset: PROG)</w:t>
      </w:r>
      <w:bookmarkEnd w:id="31"/>
    </w:p>
    <w:p>
      <w:pPr>
        <w:pStyle w:val="38"/>
      </w:pPr>
      <w:r>
        <w:t xml:space="preserve">以 R 包</w:t>
      </w:r>
      <w:r>
        <w:t xml:space="preserve"> </w:t>
      </w:r>
      <w:r>
        <w:rPr>
          <w:rStyle w:val="197"/>
        </w:rPr>
        <w:t xml:space="preserve">survival</w:t>
      </w:r>
      <w:r>
        <w:t xml:space="preserve"> </w:t>
      </w:r>
      <w:r>
        <w:t xml:space="preserve">(3.7.0) 做多因素 COX 回归 (</w:t>
      </w:r>
      <w:r>
        <w:rPr>
          <w:rStyle w:val="197"/>
        </w:rPr>
        <w:t xml:space="preserve">survival::coxph</w:t>
      </w:r>
      <w:r>
        <w:t xml:space="preserve">)。</w:t>
      </w:r>
    </w:p>
    <w:p>
      <w:pPr>
        <w:pStyle w:val="4"/>
      </w:pPr>
      <w:bookmarkStart w:id="32" w:name="geo-数据获取-dataset-lusc"/>
      <w:r>
        <w:t xml:space="preserve">2.9	GEO 数据获取 (Dataset: LUSC)</w:t>
      </w:r>
      <w:bookmarkEnd w:id="32"/>
    </w:p>
    <w:p>
      <w:pPr>
        <w:pStyle w:val="38"/>
      </w:pPr>
      <w:r>
        <w:t xml:space="preserve">以 R 包</w:t>
      </w:r>
      <w:r>
        <w:t xml:space="preserve"> </w:t>
      </w:r>
      <w:r>
        <w:rPr>
          <w:rStyle w:val="197"/>
        </w:rPr>
        <w:t xml:space="preserve">GEOquery</w:t>
      </w:r>
      <w:r>
        <w:t xml:space="preserve"> </w:t>
      </w:r>
      <w:r>
        <w:t xml:space="preserve">(2.74.0) 获取 GSE157010 数据集。</w:t>
      </w:r>
    </w:p>
    <w:p>
      <w:pPr>
        <w:pStyle w:val="4"/>
      </w:pPr>
      <w:bookmarkStart w:id="33" w:name="survival-生存分析-dataset-geo_lusc"/>
      <w:r>
        <w:t xml:space="preserve">2.10	Survival 生存分析 (Dataset: GEO_LUSC)</w:t>
      </w:r>
      <w:bookmarkEnd w:id="33"/>
    </w:p>
    <w:p>
      <w:pPr>
        <w:pStyle w:val="38"/>
      </w:pPr>
      <w:r>
        <w:t xml:space="preserve">将 Univariate COX 回归系数用于风险评分计算，根据中位风险评分 0.0418674487761947 将患者分为低危组和高危组。</w:t>
      </w:r>
      <w:r>
        <w:t xml:space="preserve"> </w:t>
      </w:r>
      <w:r>
        <w:t xml:space="preserve">以 R 包</w:t>
      </w:r>
      <w:r>
        <w:t xml:space="preserve"> </w:t>
      </w:r>
      <w:r>
        <w:rPr>
          <w:rStyle w:val="197"/>
        </w:rPr>
        <w:t xml:space="preserve">survival</w:t>
      </w:r>
      <w:r>
        <w:t xml:space="preserve"> </w:t>
      </w:r>
      <w:r>
        <w:t xml:space="preserve">(3.7.0) 生存分析，以 R 包</w:t>
      </w:r>
      <w:r>
        <w:t xml:space="preserve"> </w:t>
      </w:r>
      <w:r>
        <w:rPr>
          <w:rStyle w:val="197"/>
        </w:rPr>
        <w:t xml:space="preserve">survminer</w:t>
      </w:r>
      <w:r>
        <w:t xml:space="preserve"> </w:t>
      </w:r>
      <w:r>
        <w:t xml:space="preserve">(0.5.0) 绘制生存曲线。以 R 包</w:t>
      </w:r>
      <w:r>
        <w:t xml:space="preserve"> </w:t>
      </w:r>
      <w:r>
        <w:rPr>
          <w:rStyle w:val="197"/>
        </w:rPr>
        <w:t xml:space="preserve">timeROC</w:t>
      </w:r>
      <w:r>
        <w:t xml:space="preserve"> </w:t>
      </w:r>
      <w:r>
        <w:t xml:space="preserve">(0.4) 绘制 1, 3, 5 年生存曲线。</w:t>
      </w:r>
    </w:p>
    <w:p>
      <w:pPr>
        <w:pStyle w:val="4"/>
      </w:pPr>
      <w:bookmarkStart w:id="34" w:name="estimate-免疫评分-dataset-lusc"/>
      <w:r>
        <w:t xml:space="preserve">2.11	estimate 免疫评分 (Dataset: LUSC)</w:t>
      </w:r>
      <w:bookmarkEnd w:id="34"/>
    </w:p>
    <w:p>
      <w:pPr>
        <w:pStyle w:val="38"/>
      </w:pPr>
      <w:r>
        <w:t xml:space="preserve">以 R 包</w:t>
      </w:r>
      <w:r>
        <w:t xml:space="preserve"> </w:t>
      </w:r>
      <w:r>
        <w:rPr>
          <w:rStyle w:val="197"/>
        </w:rPr>
        <w:t xml:space="preserve">estimate</w:t>
      </w:r>
      <w:r>
        <w:t xml:space="preserve"> </w:t>
      </w:r>
      <w:r>
        <w:t xml:space="preserve">(1.0.13) (2013,</w:t>
      </w:r>
      <w:r>
        <w:t xml:space="preserve"> </w:t>
      </w:r>
      <w:r>
        <w:rPr>
          <w:b/>
        </w:rPr>
        <w:t xml:space="preserve">IF:14.7</w:t>
      </w:r>
      <w:r>
        <w:t xml:space="preserve">, Q1, Nature communications)</w:t>
      </w:r>
      <w:r>
        <w:rPr>
          <w:vertAlign w:val="superscript"/>
        </w:rPr>
        <w:t xml:space="preserve">8</w:t>
      </w:r>
      <w:r>
        <w:t xml:space="preserve"> </w:t>
      </w:r>
      <w:r>
        <w:t xml:space="preserve">预测数据集的 stromal, immune, estimate 得分。</w:t>
      </w:r>
      <w:r>
        <w:t xml:space="preserve"> </w:t>
      </w:r>
      <w:r>
        <w:t xml:space="preserve">从 TISIDB (,</w:t>
      </w:r>
      <w:r>
        <w:t xml:space="preserve"> </w:t>
      </w:r>
      <w:r>
        <w:rPr>
          <w:b/>
        </w:rPr>
        <w:t xml:space="preserve">IF:</w:t>
      </w:r>
      <w:r>
        <w:t xml:space="preserve">, , )</w:t>
      </w:r>
      <w:r>
        <w:rPr>
          <w:vertAlign w:val="superscript"/>
        </w:rPr>
        <w:t xml:space="preserve">9</w:t>
      </w:r>
      <w:r>
        <w:t xml:space="preserve"> </w:t>
      </w:r>
      <w:r>
        <w:t xml:space="preserve">数据库下载的 178 个基因 (genes encoding immunomodulators and chemokines) 比较表达量差异。</w:t>
      </w:r>
    </w:p>
    <w:p>
      <w:pPr>
        <w:pStyle w:val="4"/>
      </w:pPr>
      <w:bookmarkStart w:id="35" w:name="limma-差异分析-dataset-lncrna"/>
      <w:r>
        <w:t xml:space="preserve">2.12	Limma 差异分析 (Dataset: LNCRNA)</w:t>
      </w:r>
      <w:bookmarkEnd w:id="35"/>
    </w:p>
    <w:p>
      <w:pPr>
        <w:pStyle w:val="38"/>
      </w:pPr>
      <w:r>
        <w:t xml:space="preserve">以 R 包</w:t>
      </w:r>
      <w:r>
        <w:t xml:space="preserve"> </w:t>
      </w:r>
      <w:r>
        <w:rPr>
          <w:rStyle w:val="197"/>
        </w:rPr>
        <w:t xml:space="preserve">limma</w:t>
      </w:r>
      <w:r>
        <w:t xml:space="preserve"> </w:t>
      </w:r>
      <w:r>
        <w:t xml:space="preserve">(3.62.1) (2005,</w:t>
      </w:r>
      <w:r>
        <w:t xml:space="preserve"> </w:t>
      </w:r>
      <w:r>
        <w:rPr>
          <w:b/>
        </w:rPr>
        <w:t xml:space="preserve">IF:</w:t>
      </w:r>
      <w:r>
        <w:t xml:space="preserve">, , )</w:t>
      </w:r>
      <w:r>
        <w:rPr>
          <w:vertAlign w:val="superscript"/>
        </w:rPr>
        <w:t xml:space="preserve">2</w:t>
      </w:r>
      <w:r>
        <w:t xml:space="preserve"> </w:t>
      </w:r>
      <w:r>
        <w:rPr>
          <w:rStyle w:val="197"/>
        </w:rPr>
        <w:t xml:space="preserve">edgeR</w:t>
      </w:r>
      <w:r>
        <w:t xml:space="preserve"> </w:t>
      </w:r>
      <w:r>
        <w:t xml:space="preserve">(4.4.0) (,</w:t>
      </w:r>
      <w:r>
        <w:t xml:space="preserve"> </w:t>
      </w:r>
      <w:r>
        <w:rPr>
          <w:b/>
        </w:rPr>
        <w:t xml:space="preserve">IF:</w:t>
      </w:r>
      <w:r>
        <w:t xml:space="preserve">, , )</w:t>
      </w:r>
      <w:r>
        <w:rPr>
          <w:vertAlign w:val="superscript"/>
        </w:rPr>
        <w:t xml:space="preserve">3</w:t>
      </w:r>
      <w:r>
        <w:t xml:space="preserve"> </w:t>
      </w:r>
      <w:r>
        <w:t xml:space="preserve">进行差异分析。以</w:t>
      </w:r>
      <w:r>
        <w:t xml:space="preserve"> </w:t>
      </w:r>
      <w:r>
        <w:rPr>
          <w:rStyle w:val="197"/>
        </w:rPr>
        <w:t xml:space="preserve">edgeR::filterByExpr</w:t>
      </w:r>
      <w:r>
        <w:t xml:space="preserve"> </w:t>
      </w:r>
      <w:r>
        <w:t xml:space="preserve">过于 count 数量小于 10 的基因。以</w:t>
      </w:r>
      <w:r>
        <w:t xml:space="preserve"> </w:t>
      </w:r>
      <w:r>
        <w:rPr>
          <w:rStyle w:val="197"/>
        </w:rPr>
        <w:t xml:space="preserve">edgeR::calcNormFactors</w:t>
      </w:r>
      <w:r>
        <w:t xml:space="preserve">，</w:t>
      </w:r>
      <w:r>
        <w:rPr>
          <w:rStyle w:val="197"/>
        </w:rPr>
        <w:t xml:space="preserve">limma::voom</w:t>
      </w:r>
      <w:r>
        <w:t xml:space="preserve"> </w:t>
      </w:r>
      <w:r>
        <w:t xml:space="preserve">转化 count 数据为 log2 counts-per-million (logCPM)。分析方法参考</w:t>
      </w:r>
      <w:r>
        <w:t xml:space="preserve"> </w:t>
      </w:r>
      <w:hyperlink r:id="rId26">
        <w:r>
          <w:rPr>
            <w:rStyle w:val="24"/>
          </w:rPr>
          <w:t xml:space="preserve">https://bioconductor.org/packages/release/workflows/vignettes/RNAseq123/inst/doc/limmaWorkflow.html</w:t>
        </w:r>
      </w:hyperlink>
      <w:r>
        <w:t xml:space="preserve">。随后，以 公式 ~ 0 + group + batch 创建设计矩阵 (design matrix) 用于线性分析。</w:t>
      </w:r>
      <w:r>
        <w:t xml:space="preserve"> </w:t>
      </w:r>
      <w:r>
        <w:t xml:space="preserve">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差异分析对比组：Early_stage vs Healthy, Advanced_stage vs Healthy, Advanced_stage vs Early_stage。以</w:t>
      </w:r>
      <w:r>
        <w:t xml:space="preserve"> </w:t>
      </w:r>
      <w:r>
        <w:rPr>
          <w:rStyle w:val="197"/>
        </w:rPr>
        <w:t xml:space="preserve">limma::topTable</w:t>
      </w:r>
      <w:r>
        <w:t xml:space="preserve"> </w:t>
      </w:r>
      <w:r>
        <w:t xml:space="preserve">提取所有结果，并过滤得到 adj.P.Val 小于 0.05，|Log2(FC)| 大于 1 的统计结果。</w:t>
      </w:r>
    </w:p>
    <w:p>
      <w:pPr>
        <w:pStyle w:val="2"/>
      </w:pPr>
      <w:bookmarkStart w:id="36" w:name="workflow"/>
      <w:r>
        <w:t xml:space="preserve">3	分析结果</w:t>
      </w:r>
      <w:bookmarkEnd w:id="36"/>
    </w:p>
    <w:p>
      <w:pPr>
        <w:pStyle w:val="4"/>
      </w:pPr>
      <w:bookmarkStart w:id="37" w:name="limma-差异分析-mrna"/>
      <w:r>
        <w:t xml:space="preserve">3.1	Limma 差异分析 (MRNA)</w:t>
      </w:r>
      <w:bookmarkEnd w:id="37"/>
    </w:p>
    <w:p>
      <w:pPr>
        <w:pStyle w:val="38"/>
      </w:pPr>
      <w:r>
        <w:t xml:space="preserve">肝癌 RNA-seq， 共 247 个样本，分 3 组，分别为 Advanced_stage (65) , Early_stage (101) , Healthy (81) 。</w:t>
      </w:r>
      <w:r>
        <w:t xml:space="preserve"> </w:t>
      </w:r>
      <w:r>
        <w:t xml:space="preserve">元数据见 Tab.</w:t>
      </w:r>
      <w:r>
        <w:t xml:space="preserve"> </w:t>
      </w:r>
      <w:hyperlink w:anchor="MRNA-metadata">
        <w:r xmlns:w14="http://schemas.microsoft.com/office/word/2010/wordml">
          <w:rPr/>
          <w:fldChar w:fldCharType="begin" w:dirty="true"/>
        </w:r>
        <w:r xmlns:w14="http://schemas.microsoft.com/office/word/2010/wordml">
          <w:rPr/>
          <w:instrText xml:space="preserve" w:dirty="true"> REF MRNA-metadata \h</w:instrText>
        </w:r>
        <w:r xmlns:w14="http://schemas.microsoft.com/office/word/2010/wordml">
          <w:rPr/>
          <w:fldChar w:fldCharType="end" w:dirty="true"/>
        </w:r>
      </w:hyperlink>
      <w:r>
        <w:t xml:space="preserve"> </w:t>
      </w:r>
      <w:r>
        <w:t xml:space="preserve">。</w:t>
      </w:r>
      <w:r>
        <w:t xml:space="preserve"> </w:t>
      </w:r>
      <w:r>
        <w:t xml:space="preserve">对基因注释后，获取 mRNA 数据差异分析。</w:t>
      </w:r>
      <w:r>
        <w:t xml:space="preserve"> </w:t>
      </w:r>
      <w:r>
        <w:t xml:space="preserve">差异分析 Early_stage vs Healthy, Advanced_stage vs Healthy, Advanced_stage vs Early_stage (若 A vs B，则为前者比后者，LogFC 大于 0 时，A 表达量高于 B)</w:t>
      </w:r>
      <w:r>
        <w:t xml:space="preserve"> </w:t>
      </w:r>
      <w:r>
        <w:t xml:space="preserve">得到的 DEGs 统计见 Fig.</w:t>
      </w:r>
      <w:r>
        <w:t xml:space="preserve"> </w:t>
      </w:r>
      <w:hyperlink w:anchor="MRNA-Difference-intersection">
        <w:r xmlns:w14="http://schemas.microsoft.com/office/word/2010/wordml">
          <w:rPr/>
          <w:fldChar w:fldCharType="begin" w:dirty="true"/>
        </w:r>
        <w:r xmlns:w14="http://schemas.microsoft.com/office/word/2010/wordml">
          <w:rPr/>
          <w:instrText xml:space="preserve" w:dirty="true"> REF MRNA-Difference-intersection \h</w:instrText>
        </w:r>
        <w:r xmlns:w14="http://schemas.microsoft.com/office/word/2010/wordml">
          <w:rPr/>
          <w:fldChar w:fldCharType="end" w:dirty="true"/>
        </w:r>
      </w:hyperlink>
      <w:r>
        <w:t xml:space="preserve">。</w:t>
      </w:r>
      <w:r>
        <w:t xml:space="preserve"> </w:t>
      </w:r>
      <w:r>
        <w:t xml:space="preserve">所有 DEGs 表达特征见 Fig.</w:t>
      </w:r>
      <w:r>
        <w:t xml:space="preserve"> </w:t>
      </w:r>
      <w:hyperlink w:anchor="MRNA-Heatmap-of-DEGs">
        <w:r xmlns:w14="http://schemas.microsoft.com/office/word/2010/wordml">
          <w:rPr/>
          <w:fldChar w:fldCharType="begin" w:dirty="true"/>
        </w:r>
        <w:r xmlns:w14="http://schemas.microsoft.com/office/word/2010/wordml">
          <w:rPr/>
          <w:instrText xml:space="preserve" w:dirty="true"> REF MRNA-Heatmap-of-DEGs \h</w:instrText>
        </w:r>
        <w:r xmlns:w14="http://schemas.microsoft.com/office/word/2010/wordml">
          <w:rPr/>
          <w:fldChar w:fldCharType="end" w:dirty="true"/>
        </w:r>
      </w:hyperlink>
      <w:r>
        <w:t xml:space="preserve">。</w:t>
      </w:r>
      <w:r>
        <w:t xml:space="preserve"> </w:t>
      </w:r>
      <w:r>
        <w:t xml:space="preserve">所有上调 DEGs 有 539 个，下调共 781；一共 1278 个 (非重复)。</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ff8eabaa-bb15-4619-81fa-a18642a23a59" w:name="MRNA-metadata"/>
      <w:r>
        <w:rPr>
          <w:rFonts/>
          <w:b w:val="true"/>
        </w:rPr>
        <w:fldChar w:fldCharType="begin" w:dirty="true"/>
      </w:r>
      <w:r>
        <w:rPr>
          <w:rFonts/>
          <w:b w:val="true"/>
        </w:rPr>
        <w:instrText xml:space="preserve" w:dirty="true">SEQ tab \* Arabic</w:instrText>
      </w:r>
      <w:r>
        <w:rPr>
          <w:rFonts/>
          <w:b w:val="true"/>
        </w:rPr>
        <w:fldChar w:fldCharType="end" w:dirty="true"/>
      </w:r>
      <w:bookmarkEnd w:id="ff8eabaa-bb15-4619-81fa-a18642a23a59"/>
      <w:r>
        <w:rPr>
          <w:rFonts/>
          <w:b w:val="true"/>
        </w:rPr>
        <w:t xml:space="preserve">  </w:t>
      </w:r>
      <w:r>
        <w:t xml:space="preserve">MRNA metadata</w:t>
      </w:r>
    </w:p>
    <w:tbl xmlns:w14="http://schemas.microsoft.com/office/word/2010/wordml">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Lib.size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Norm.factors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Batch</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X180622CMQ...</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14419487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180622CMQ-907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X180622HLQ...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13558462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180622HLQ-908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X180622LSF...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16935778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180622LSF-902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X180622SRD...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16297826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180622SRD-906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X180622YRQ...</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17343112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180622YRQ-903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X180623WMC...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16088883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180623WMC-911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X180626XMH...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20035739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180626XMH-915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X180627CSY...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17851721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180627CSY-918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X180627XYJ...</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18398673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180627XYJ-917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X180628LJH...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11784847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180628LJH-902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1806</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X180705LLF...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18773735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180705LLF-915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X180705WWP...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14747138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180705WWP-912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X180705ZQY...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15490310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180705ZQY-911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X180705ZZX...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18523030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180705ZZX-913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X180707CZM...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Early 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21342554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180707CZM-917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1807</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Figure+Table/MRNA-metadata.csv)</w:t>
      </w:r>
    </w:p>
    <w:p>
      <w:pPr>
        <w:pStyle w:val="3"/>
      </w:pPr>
      <w:r>
        <w:rPr/>
        <w:drawing>
          <wp:inline distT="0" distB="0" distL="0" distR="0">
            <wp:extent cx="5669280" cy="4515390"/>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55"/>
                    <a:stretch>
                      <a:fillRect/>
                    </a:stretch>
                  </pic:blipFill>
                  <pic:spPr bwMode="auto">
                    <a:xfrm>
                      <a:off x="0" y="0"/>
                      <a:ext cx="78740" cy="62714"/>
                    </a:xfrm>
                    <a:prstGeom prst="rect">
                      <a:avLst/>
                    </a:prstGeom>
                    <a:noFill/>
                  </pic:spPr>
                </pic:pic>
              </a:graphicData>
            </a:graphic>
          </wp:inline>
        </w:drawing>
      </w:r>
    </w:p>
    <w:p>
      <w:pPr>
        <w:pStyle w:val="194"/>
      </w:pPr>
      <w:r>
        <w:rPr>
          <w:rFonts/>
          <w:b w:val="true"/>
        </w:rPr>
        <w:t xml:space="preserve">Fig. </w:t>
      </w:r>
      <w:bookmarkStart w:id="7b26d7e8-3190-44bf-97d4-7b840d85c064" w:name="MRNA-Heatmap-of-DEG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b26d7e8-3190-44bf-97d4-7b840d85c064"/>
      <w:r>
        <w:rPr>
          <w:rFonts/>
          <w:b w:val="true"/>
        </w:rPr>
        <w:t xml:space="preserve"> </w:t>
      </w:r>
      <w:r>
        <w:t xml:space="preserve">MRNA Heatmap of DEGs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Figure+Table/MRNA-Heatmap-of-DEGs.pdf)</w:t>
      </w:r>
    </w:p>
    <w:p>
      <w:pPr>
        <w:pStyle w:val="3"/>
      </w:pPr>
      <w:r>
        <w:rPr/>
        <w:drawing>
          <wp:inline distT="0" distB="0" distL="0" distR="0">
            <wp:extent cx="5669280" cy="4553623"/>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56"/>
                    <a:stretch>
                      <a:fillRect/>
                    </a:stretch>
                  </pic:blipFill>
                  <pic:spPr bwMode="auto">
                    <a:xfrm>
                      <a:off x="0" y="0"/>
                      <a:ext cx="78740" cy="63245"/>
                    </a:xfrm>
                    <a:prstGeom prst="rect">
                      <a:avLst/>
                    </a:prstGeom>
                    <a:noFill/>
                  </pic:spPr>
                </pic:pic>
              </a:graphicData>
            </a:graphic>
          </wp:inline>
        </w:drawing>
      </w:r>
    </w:p>
    <w:p>
      <w:pPr>
        <w:pStyle w:val="194"/>
      </w:pPr>
      <w:r>
        <w:rPr>
          <w:rFonts/>
          <w:b w:val="true"/>
        </w:rPr>
        <w:t xml:space="preserve">Fig. </w:t>
      </w:r>
      <w:bookmarkStart w:id="737f1387-567a-4464-901f-51a6d499f49b" w:name="MRNA-Early-stage-vs-Health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37f1387-567a-4464-901f-51a6d499f49b"/>
      <w:r>
        <w:rPr>
          <w:rFonts/>
          <w:b w:val="true"/>
        </w:rPr>
        <w:t xml:space="preserve"> </w:t>
      </w:r>
      <w:r>
        <w:t xml:space="preserve">MRNA Early stage vs Healthy</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Figure+Table/MRNA-Early-stage-vs-Healthy.pdf)</w:t>
      </w:r>
    </w:p>
    <w:p>
      <w:pPr>
        <w:numPr>
          <w:ilvl w:val="0"/>
          <w:numId w:val="1001"/>
        </w:numPr>
        <w:pStyle w:val="186"/>
      </w:pPr>
      <w:r>
        <w:t xml:space="preserve">adj.P.Val cut-off: 0.05</w:t>
      </w:r>
    </w:p>
    <w:p>
      <w:pPr>
        <w:numPr>
          <w:ilvl w:val="0"/>
          <w:numId w:val="1001"/>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Figure+Table/MRNA-Early-stage-vs-Healthy-content)</w:t>
      </w:r>
    </w:p>
    <w:p>
      <w:pPr>
        <w:pStyle w:val="38"/>
      </w:pPr>
      <w:r>
        <w:rPr/>
        <w:drawing>
          <wp:inline distT="0" distB="0" distL="0" distR="0">
            <wp:extent cx="5669280" cy="4597141"/>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57"/>
                    <a:stretch>
                      <a:fillRect/>
                    </a:stretch>
                  </pic:blipFill>
                  <pic:spPr bwMode="auto">
                    <a:xfrm>
                      <a:off x="0" y="0"/>
                      <a:ext cx="78740" cy="63849"/>
                    </a:xfrm>
                    <a:prstGeom prst="rect">
                      <a:avLst/>
                    </a:prstGeom>
                    <a:noFill/>
                  </pic:spPr>
                </pic:pic>
              </a:graphicData>
            </a:graphic>
          </wp:inline>
        </w:drawing>
      </w:r>
    </w:p>
    <w:p>
      <w:pPr>
        <w:pStyle w:val="194"/>
      </w:pPr>
      <w:r>
        <w:rPr>
          <w:rFonts/>
          <w:b w:val="true"/>
        </w:rPr>
        <w:t xml:space="preserve">Fig. </w:t>
      </w:r>
      <w:bookmarkStart w:id="485c5e0c-4d63-45a4-b0a2-302f9a5757cf" w:name="MRNA-Advanced-stage-vs-Healthy"/>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85c5e0c-4d63-45a4-b0a2-302f9a5757cf"/>
      <w:r>
        <w:rPr>
          <w:rFonts/>
          <w:b w:val="true"/>
        </w:rPr>
        <w:t xml:space="preserve"> </w:t>
      </w:r>
      <w:r>
        <w:t xml:space="preserve">MRNA Advanced stage vs Healthy</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Figure+Table/MRNA-Advanced-stage-vs-Healthy.pdf)</w:t>
      </w:r>
    </w:p>
    <w:p>
      <w:pPr>
        <w:numPr>
          <w:ilvl w:val="0"/>
          <w:numId w:val="1002"/>
        </w:numPr>
        <w:pStyle w:val="186"/>
      </w:pPr>
      <w:r>
        <w:t xml:space="preserve">adj.P.Val cut-off: 0.05</w:t>
      </w:r>
    </w:p>
    <w:p>
      <w:pPr>
        <w:numPr>
          <w:ilvl w:val="0"/>
          <w:numId w:val="1002"/>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Figure+Table/MRNA-Advanced-stage-vs-Healthy-content)</w:t>
      </w:r>
    </w:p>
    <w:p>
      <w:pPr>
        <w:pStyle w:val="38"/>
      </w:pPr>
      <w:r>
        <w:rPr/>
        <w:drawing>
          <wp:inline distT="0" distB="0" distL="0" distR="0">
            <wp:extent cx="5669280" cy="4553623"/>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58"/>
                    <a:stretch>
                      <a:fillRect/>
                    </a:stretch>
                  </pic:blipFill>
                  <pic:spPr bwMode="auto">
                    <a:xfrm>
                      <a:off x="0" y="0"/>
                      <a:ext cx="78740" cy="63245"/>
                    </a:xfrm>
                    <a:prstGeom prst="rect">
                      <a:avLst/>
                    </a:prstGeom>
                    <a:noFill/>
                  </pic:spPr>
                </pic:pic>
              </a:graphicData>
            </a:graphic>
          </wp:inline>
        </w:drawing>
      </w:r>
    </w:p>
    <w:p>
      <w:pPr>
        <w:pStyle w:val="194"/>
      </w:pPr>
      <w:r>
        <w:rPr>
          <w:rFonts/>
          <w:b w:val="true"/>
        </w:rPr>
        <w:t xml:space="preserve">Fig. </w:t>
      </w:r>
      <w:bookmarkStart w:id="d7c1cd5a-e5db-4fd1-9ed2-7863b35f4387" w:name="MRNA-Advanced-stage-vs-Early-stag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7c1cd5a-e5db-4fd1-9ed2-7863b35f4387"/>
      <w:r>
        <w:rPr>
          <w:rFonts/>
          <w:b w:val="true"/>
        </w:rPr>
        <w:t xml:space="preserve"> </w:t>
      </w:r>
      <w:r>
        <w:t xml:space="preserve">MRNA Advanced stage vs Early stage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Figure+Table/MRNA-Advanced-stage-vs-Early-stage.pdf)</w:t>
      </w:r>
    </w:p>
    <w:p>
      <w:pPr>
        <w:numPr>
          <w:ilvl w:val="0"/>
          <w:numId w:val="1003"/>
        </w:numPr>
        <w:pStyle w:val="186"/>
      </w:pPr>
      <w:r>
        <w:t xml:space="preserve">adj.P.Val cut-off: 0.05</w:t>
      </w:r>
    </w:p>
    <w:p>
      <w:pPr>
        <w:numPr>
          <w:ilvl w:val="0"/>
          <w:numId w:val="1003"/>
        </w:numPr>
        <w:pStyle w:val="186"/>
      </w:pPr>
      <w:r>
        <w:t xml:space="preserve">Log2(FC) cut-off: 1</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Figure+Table/MRNA-Advanced-stage-vs-Early-stage-content)</w:t>
      </w:r>
    </w:p>
    <w:p>
      <w:pPr>
        <w:pStyle w:val="38"/>
      </w:pPr>
      <w:r>
        <w:rPr/>
        <w:drawing>
          <wp:inline distT="0" distB="0" distL="0" distR="0">
            <wp:extent cx="5669280" cy="4491072"/>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59"/>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3457684f-8441-4e8c-9d29-b121ee2ae12d" w:name="MRNA-Difference-intersec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457684f-8441-4e8c-9d29-b121ee2ae12d"/>
      <w:r>
        <w:rPr>
          <w:rFonts/>
          <w:b w:val="true"/>
        </w:rPr>
        <w:t xml:space="preserve"> </w:t>
      </w:r>
      <w:r>
        <w:t xml:space="preserve">MRNA Difference 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Figure+Table/MRNA-Difference-intersection.pdf)</w:t>
      </w:r>
    </w:p>
    <w:p>
      <w:pPr>
        <w:numPr>
          <w:ilvl w:val="0"/>
          <w:numId w:val="1004"/>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Figure+Table/MRNA-Difference-intersection-content)</w:t>
      </w:r>
    </w:p>
    <w:p>
      <w:pPr>
        <w:pStyle w:val="200"/>
      </w:pPr>
      <w:r>
        <w:rPr>
          <w:rStyle w:val="197"/>
        </w:rPr>
        <w:t xml:space="preserve">Note: The directory 'Figure+Table/MRNA-data-DEGs' contains 3 files.</w:t>
      </w:r>
      <w:r>
        <w:br/>
      </w:r>
      <w:r>
        <w:br/>
      </w:r>
      <w:r>
        <w:rPr>
          <w:rStyle w:val="197"/>
        </w:rPr>
        <w:t xml:space="preserve">1 1_Early_stage - Healthy.csv</w:t>
      </w:r>
      <w:r>
        <w:br/>
      </w:r>
      <w:r>
        <w:rPr>
          <w:rStyle w:val="197"/>
        </w:rPr>
        <w:t xml:space="preserve">2 2_Advanced_stage - Healthy.csv</w:t>
      </w:r>
      <w:r>
        <w:br/>
      </w:r>
      <w:r>
        <w:rPr>
          <w:rStyle w:val="197"/>
        </w:rPr>
        <w:t xml:space="preserve">3 3_Advanced_stage - Early_stage.csv</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Figure+Table/MRNA-data-DEGs)</w:t>
      </w:r>
    </w:p>
    <w:p>
      <w:pPr>
        <w:pStyle w:val="4"/>
      </w:pPr>
      <w:bookmarkStart w:id="38" w:name="mfuzz-聚类分析-mrna"/>
      <w:r>
        <w:t xml:space="preserve">3.2	Mfuzz 聚类分析 (MRNA)</w:t>
      </w:r>
      <w:bookmarkEnd w:id="38"/>
    </w:p>
    <w:p>
      <w:pPr>
        <w:pStyle w:val="38"/>
      </w:pPr>
      <w:r>
        <w:t xml:space="preserve">将上述筛选得的 DEGs 以 Mfuzz 聚类分析。</w:t>
      </w:r>
      <w:r>
        <w:t xml:space="preserve"> </w:t>
      </w:r>
      <w:r>
        <w:t xml:space="preserve">见 Fig.</w:t>
      </w:r>
      <w:r>
        <w:t xml:space="preserve"> </w:t>
      </w:r>
      <w:hyperlink w:anchor="MRNA-Mfuzz-clusters">
        <w:r xmlns:w14="http://schemas.microsoft.com/office/word/2010/wordml">
          <w:rPr/>
          <w:fldChar w:fldCharType="begin" w:dirty="true"/>
        </w:r>
        <w:r xmlns:w14="http://schemas.microsoft.com/office/word/2010/wordml">
          <w:rPr/>
          <w:instrText xml:space="preserve" w:dirty="true"> REF MRNA-Mfuzz-clusters \h</w:instrText>
        </w:r>
        <w:r xmlns:w14="http://schemas.microsoft.com/office/word/2010/wordml">
          <w:rPr/>
          <w:fldChar w:fldCharType="end" w:dirty="true"/>
        </w:r>
      </w:hyperlink>
      <w:r>
        <w:t xml:space="preserve">。按照 Healthy, Early_stage, Advanced_stage 顺序, 在 Mfuzz 聚类中，6, 8 为按时序上调，共 325 个，1, 3, 4 为按时序下调，共 590 个。其他基因为离散变化。。</w:t>
      </w:r>
    </w:p>
    <w:p>
      <w:pPr>
        <w:pStyle w:val="3"/>
      </w:pPr>
      <w:r>
        <w:rPr/>
        <w:drawing>
          <wp:inline distT="0" distB="0" distL="0" distR="0">
            <wp:extent cx="5669280" cy="3297778"/>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60"/>
                    <a:stretch>
                      <a:fillRect/>
                    </a:stretch>
                  </pic:blipFill>
                  <pic:spPr bwMode="auto">
                    <a:xfrm>
                      <a:off x="0" y="0"/>
                      <a:ext cx="78740" cy="45802"/>
                    </a:xfrm>
                    <a:prstGeom prst="rect">
                      <a:avLst/>
                    </a:prstGeom>
                    <a:noFill/>
                  </pic:spPr>
                </pic:pic>
              </a:graphicData>
            </a:graphic>
          </wp:inline>
        </w:drawing>
      </w:r>
    </w:p>
    <w:p>
      <w:pPr>
        <w:pStyle w:val="194"/>
      </w:pPr>
      <w:r>
        <w:rPr>
          <w:rFonts/>
          <w:b w:val="true"/>
        </w:rPr>
        <w:t xml:space="preserve">Fig. </w:t>
      </w:r>
      <w:bookmarkStart w:id="57357759-4155-4e6a-a6ee-1757d96d3bd3" w:name="MRNA-Mfuzz-cluster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7357759-4155-4e6a-a6ee-1757d96d3bd3"/>
      <w:r>
        <w:rPr>
          <w:rFonts/>
          <w:b w:val="true"/>
        </w:rPr>
        <w:t xml:space="preserve"> </w:t>
      </w:r>
      <w:r>
        <w:t xml:space="preserve">MRNA Mfuzz clusters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Figure+Table/MRNA-Mfuzz-clusters.pdf)</w:t>
      </w:r>
    </w:p>
    <w:p>
      <w:pPr>
        <w:pStyle w:val="4"/>
      </w:pPr>
      <w:bookmarkStart w:id="39" w:name="富集分析-mrna"/>
      <w:r>
        <w:t xml:space="preserve">3.3	富集分析 (MRNA)</w:t>
      </w:r>
      <w:bookmarkEnd w:id="39"/>
    </w:p>
    <w:p>
      <w:pPr>
        <w:pStyle w:val="38"/>
      </w:pPr>
      <w:r>
        <w:t xml:space="preserve">将 MFuzz 上调聚类与下调聚类分别以 KEGG 富集分析。</w:t>
      </w:r>
      <w:r>
        <w:t xml:space="preserve"> </w:t>
      </w:r>
      <w:r>
        <w:t xml:space="preserve">KEGG 见 Fig.</w:t>
      </w:r>
      <w:r>
        <w:t xml:space="preserve"> </w:t>
      </w:r>
      <w:hyperlink w:anchor="MRNA-up-KEGG-enrichment">
        <w:r xmlns:w14="http://schemas.microsoft.com/office/word/2010/wordml">
          <w:rPr/>
          <w:fldChar w:fldCharType="begin" w:dirty="true"/>
        </w:r>
        <w:r xmlns:w14="http://schemas.microsoft.com/office/word/2010/wordml">
          <w:rPr/>
          <w:instrText xml:space="preserve" w:dirty="true"> REF MRNA-up-KEGG-enrichment \h</w:instrText>
        </w:r>
        <w:r xmlns:w14="http://schemas.microsoft.com/office/word/2010/wordml">
          <w:rPr/>
          <w:fldChar w:fldCharType="end" w:dirty="true"/>
        </w:r>
      </w:hyperlink>
      <w:r>
        <w:t xml:space="preserve">, Fig.</w:t>
      </w:r>
      <w:r>
        <w:t xml:space="preserve"> </w:t>
      </w:r>
      <w:hyperlink w:anchor="MRNA-down-KEGG-enrichment">
        <w:r xmlns:w14="http://schemas.microsoft.com/office/word/2010/wordml">
          <w:rPr/>
          <w:fldChar w:fldCharType="begin" w:dirty="true"/>
        </w:r>
        <w:r xmlns:w14="http://schemas.microsoft.com/office/word/2010/wordml">
          <w:rPr/>
          <w:instrText xml:space="preserve" w:dirty="true"> REF MRNA-down-KEGG-enrichment \h</w:instrText>
        </w:r>
        <w:r xmlns:w14="http://schemas.microsoft.com/office/word/2010/wordml">
          <w:rPr/>
          <w:fldChar w:fldCharType="end" w:dirty="true"/>
        </w:r>
      </w:hyperlink>
      <w:r>
        <w:t xml:space="preserve">。</w:t>
      </w:r>
      <w:r>
        <w:t xml:space="preserve"> </w:t>
      </w:r>
      <w:r>
        <w:t xml:space="preserve">GO 见 Fig.</w:t>
      </w:r>
      <w:r>
        <w:t xml:space="preserve"> </w:t>
      </w:r>
      <w:hyperlink w:anchor="MRNA-up-GO-enrichment">
        <w:r xmlns:w14="http://schemas.microsoft.com/office/word/2010/wordml">
          <w:rPr/>
          <w:fldChar w:fldCharType="begin" w:dirty="true"/>
        </w:r>
        <w:r xmlns:w14="http://schemas.microsoft.com/office/word/2010/wordml">
          <w:rPr/>
          <w:instrText xml:space="preserve" w:dirty="true"> REF MRNA-up-GO-enrichment \h</w:instrText>
        </w:r>
        <w:r xmlns:w14="http://schemas.microsoft.com/office/word/2010/wordml">
          <w:rPr/>
          <w:fldChar w:fldCharType="end" w:dirty="true"/>
        </w:r>
      </w:hyperlink>
      <w:r>
        <w:t xml:space="preserve">, Fig.</w:t>
      </w:r>
      <w:r>
        <w:t xml:space="preserve"> </w:t>
      </w:r>
      <w:hyperlink w:anchor="MRNA-down-GO-enrichment">
        <w:r xmlns:w14="http://schemas.microsoft.com/office/word/2010/wordml">
          <w:rPr/>
          <w:fldChar w:fldCharType="begin" w:dirty="true"/>
        </w:r>
        <w:r xmlns:w14="http://schemas.microsoft.com/office/word/2010/wordml">
          <w:rPr/>
          <w:instrText xml:space="preserve" w:dirty="true"> REF MRNA-down-GO-enrichment \h</w:instrText>
        </w:r>
        <w:r xmlns:w14="http://schemas.microsoft.com/office/word/2010/wordml">
          <w:rPr/>
          <w:fldChar w:fldCharType="end" w:dirty="true"/>
        </w:r>
      </w:hyperlink>
      <w:r>
        <w:t xml:space="preserve">。</w:t>
      </w:r>
      <w:r>
        <w:t xml:space="preserve"> </w:t>
      </w:r>
      <w:r>
        <w:t xml:space="preserve">上调组主要富集于 Cellular Processes, Metabolism 相关。</w:t>
      </w:r>
      <w:r>
        <w:t xml:space="preserve"> </w:t>
      </w:r>
      <w:r>
        <w:t xml:space="preserve">下调组富集于 Immune system 相关。</w:t>
      </w:r>
    </w:p>
    <w:p>
      <w:pPr>
        <w:pStyle w:val="3"/>
      </w:pPr>
      <w:r>
        <w:rPr/>
        <w:drawing>
          <wp:inline distT="0" distB="0" distL="0" distR="0">
            <wp:extent cx="5669280" cy="2872301"/>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61"/>
                    <a:stretch>
                      <a:fillRect/>
                    </a:stretch>
                  </pic:blipFill>
                  <pic:spPr bwMode="auto">
                    <a:xfrm>
                      <a:off x="0" y="0"/>
                      <a:ext cx="78740" cy="39893"/>
                    </a:xfrm>
                    <a:prstGeom prst="rect">
                      <a:avLst/>
                    </a:prstGeom>
                    <a:noFill/>
                  </pic:spPr>
                </pic:pic>
              </a:graphicData>
            </a:graphic>
          </wp:inline>
        </w:drawing>
      </w:r>
    </w:p>
    <w:p>
      <w:pPr>
        <w:pStyle w:val="194"/>
      </w:pPr>
      <w:r>
        <w:rPr>
          <w:rFonts/>
          <w:b w:val="true"/>
        </w:rPr>
        <w:t xml:space="preserve">Fig. </w:t>
      </w:r>
      <w:bookmarkStart w:id="f8ad2c60-1068-4737-a405-2c474ccc6b3e" w:name="MRNA-up-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8ad2c60-1068-4737-a405-2c474ccc6b3e"/>
      <w:r>
        <w:rPr>
          <w:rFonts/>
          <w:b w:val="true"/>
        </w:rPr>
        <w:t xml:space="preserve"> </w:t>
      </w:r>
      <w:r>
        <w:t xml:space="preserve">MRNA up KEGG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Figure+Table/MRNA-up-KEGG-enrichment.pdf)</w:t>
      </w:r>
    </w:p>
    <w:p>
      <w:pPr>
        <w:pStyle w:val="3"/>
      </w:pPr>
      <w:r>
        <w:rPr/>
        <w:drawing>
          <wp:inline distT="0" distB="0" distL="0" distR="0">
            <wp:extent cx="5669280" cy="4553693"/>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62"/>
                    <a:stretch>
                      <a:fillRect/>
                    </a:stretch>
                  </pic:blipFill>
                  <pic:spPr bwMode="auto">
                    <a:xfrm>
                      <a:off x="0" y="0"/>
                      <a:ext cx="78740" cy="63246"/>
                    </a:xfrm>
                    <a:prstGeom prst="rect">
                      <a:avLst/>
                    </a:prstGeom>
                    <a:noFill/>
                  </pic:spPr>
                </pic:pic>
              </a:graphicData>
            </a:graphic>
          </wp:inline>
        </w:drawing>
      </w:r>
    </w:p>
    <w:p>
      <w:pPr>
        <w:pStyle w:val="194"/>
      </w:pPr>
      <w:r>
        <w:rPr>
          <w:rFonts/>
          <w:b w:val="true"/>
        </w:rPr>
        <w:t xml:space="preserve">Fig. </w:t>
      </w:r>
      <w:bookmarkStart w:id="945e9bab-1fb9-4a2d-a5d1-da875a1cc084" w:name="MRNA-up-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45e9bab-1fb9-4a2d-a5d1-da875a1cc084"/>
      <w:r>
        <w:rPr>
          <w:rFonts/>
          <w:b w:val="true"/>
        </w:rPr>
        <w:t xml:space="preserve"> </w:t>
      </w:r>
      <w:r>
        <w:t xml:space="preserve">MRNA up GO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Figure+Table/MRNA-up-GO-enrichment.pdf)</w:t>
      </w:r>
    </w:p>
    <w:p>
      <w:pPr>
        <w:pStyle w:val="3"/>
      </w:pPr>
      <w:r>
        <w:rPr/>
        <w:drawing>
          <wp:inline distT="0" distB="0" distL="0" distR="0">
            <wp:extent cx="5669280" cy="2869759"/>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63"/>
                    <a:stretch>
                      <a:fillRect/>
                    </a:stretch>
                  </pic:blipFill>
                  <pic:spPr bwMode="auto">
                    <a:xfrm>
                      <a:off x="0" y="0"/>
                      <a:ext cx="78740" cy="39858"/>
                    </a:xfrm>
                    <a:prstGeom prst="rect">
                      <a:avLst/>
                    </a:prstGeom>
                    <a:noFill/>
                  </pic:spPr>
                </pic:pic>
              </a:graphicData>
            </a:graphic>
          </wp:inline>
        </w:drawing>
      </w:r>
    </w:p>
    <w:p>
      <w:pPr>
        <w:pStyle w:val="194"/>
      </w:pPr>
      <w:r>
        <w:rPr>
          <w:rFonts/>
          <w:b w:val="true"/>
        </w:rPr>
        <w:t xml:space="preserve">Fig. </w:t>
      </w:r>
      <w:bookmarkStart w:id="9d6542aa-f812-4239-a586-a2d8f3b3c8aa" w:name="MRNA-down-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d6542aa-f812-4239-a586-a2d8f3b3c8aa"/>
      <w:r>
        <w:rPr>
          <w:rFonts/>
          <w:b w:val="true"/>
        </w:rPr>
        <w:t xml:space="preserve"> </w:t>
      </w:r>
      <w:r>
        <w:t xml:space="preserve">MRNA down KEGG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Figure+Table/MRNA-down-KEGG-enrichment.pdf)</w:t>
      </w:r>
    </w:p>
    <w:p>
      <w:pPr>
        <w:pStyle w:val="3"/>
      </w:pPr>
      <w:r>
        <w:rPr/>
        <w:drawing>
          <wp:inline distT="0" distB="0" distL="0" distR="0">
            <wp:extent cx="5669280" cy="4528852"/>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64"/>
                    <a:stretch>
                      <a:fillRect/>
                    </a:stretch>
                  </pic:blipFill>
                  <pic:spPr bwMode="auto">
                    <a:xfrm>
                      <a:off x="0" y="0"/>
                      <a:ext cx="78740" cy="62901"/>
                    </a:xfrm>
                    <a:prstGeom prst="rect">
                      <a:avLst/>
                    </a:prstGeom>
                    <a:noFill/>
                  </pic:spPr>
                </pic:pic>
              </a:graphicData>
            </a:graphic>
          </wp:inline>
        </w:drawing>
      </w:r>
    </w:p>
    <w:p>
      <w:pPr>
        <w:pStyle w:val="194"/>
      </w:pPr>
      <w:r>
        <w:rPr>
          <w:rFonts/>
          <w:b w:val="true"/>
        </w:rPr>
        <w:t xml:space="preserve">Fig. </w:t>
      </w:r>
      <w:bookmarkStart w:id="85aa6f66-14db-4ae7-aaf7-7dbea2ab3dea" w:name="MRNA-down-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5aa6f66-14db-4ae7-aaf7-7dbea2ab3dea"/>
      <w:r>
        <w:rPr>
          <w:rFonts/>
          <w:b w:val="true"/>
        </w:rPr>
        <w:t xml:space="preserve"> </w:t>
      </w:r>
      <w:r>
        <w:t xml:space="preserve">MRNA down GO enrichment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Figure+Table/MRNA-down-GO-enrichment.pdf)</w:t>
      </w:r>
    </w:p>
    <w:p>
      <w:pPr>
        <w:pStyle w:val="4"/>
      </w:pPr>
      <w:bookmarkStart w:id="40" w:name="tcga-数据获取-lusc"/>
      <w:r>
        <w:t xml:space="preserve">3.4	TCGA 数据获取 (LUSC)</w:t>
      </w:r>
      <w:bookmarkEnd w:id="40"/>
    </w:p>
    <w:p>
      <w:pPr>
        <w:pStyle w:val="38"/>
      </w:pPr>
      <w:r>
        <w:t xml:space="preserve">获取 TCGA-LUSC 数据，用于临床数据分析和预后模型建立。</w:t>
      </w:r>
    </w:p>
    <w:p>
      <w:pPr>
        <w:pStyle w:val="4"/>
      </w:pPr>
      <w:bookmarkStart w:id="41" w:name="cox-回归-lusc"/>
      <w:r>
        <w:t xml:space="preserve">3.5	COX 回归 (LUSC)</w:t>
      </w:r>
      <w:bookmarkEnd w:id="41"/>
    </w:p>
    <w:p>
      <w:pPr>
        <w:pStyle w:val="38"/>
      </w:pPr>
      <w:r>
        <w:t xml:space="preserve">数据源自 TCGA-LUSC，筛选 AJCC Stage (ajcc_pathologic_stage) 为 Stage I, Stage II 的病人，并且 days_to_last_follow_up 大于 10 天，且为肿瘤组织的样本。所用样本的元数据见 Tab.</w:t>
      </w:r>
      <w:r>
        <w:t xml:space="preserve"> </w:t>
      </w:r>
      <w:hyperlink w:anchor="LUSC-metadata">
        <w:r xmlns:w14="http://schemas.microsoft.com/office/word/2010/wordml">
          <w:rPr/>
          <w:fldChar w:fldCharType="begin" w:dirty="true"/>
        </w:r>
        <w:r xmlns:w14="http://schemas.microsoft.com/office/word/2010/wordml">
          <w:rPr/>
          <w:instrText xml:space="preserve" w:dirty="true"> REF LUSC-metadata \h</w:instrText>
        </w:r>
        <w:r xmlns:w14="http://schemas.microsoft.com/office/word/2010/wordml">
          <w:rPr/>
          <w:fldChar w:fldCharType="end" w:dirty="true"/>
        </w:r>
      </w:hyperlink>
      <w:r>
        <w:t xml:space="preserve">。</w:t>
      </w:r>
    </w:p>
    <w:p>
      <w:pPr>
        <w:pStyle w:val="3"/>
      </w:pPr>
      <w:r>
        <w:t xml:space="preserve">将 LUSC 数据 (count) 标准化后 (同 MRNA 的方法)，以生存状态为指标 (Fig.</w:t>
      </w:r>
      <w:r>
        <w:t xml:space="preserve"> </w:t>
      </w:r>
      <w:hyperlink w:anchor="LUSC-Group-distribution">
        <w:r xmlns:w14="http://schemas.microsoft.com/office/word/2010/wordml">
          <w:rPr/>
          <w:fldChar w:fldCharType="begin" w:dirty="true"/>
        </w:r>
        <w:r xmlns:w14="http://schemas.microsoft.com/office/word/2010/wordml">
          <w:rPr/>
          <w:instrText xml:space="preserve" w:dirty="true"> REF LUSC-Group-distribution \h</w:instrText>
        </w:r>
        <w:r xmlns:w14="http://schemas.microsoft.com/office/word/2010/wordml">
          <w:rPr/>
          <w:fldChar w:fldCharType="end" w:dirty="true"/>
        </w:r>
      </w:hyperlink>
      <w:r>
        <w:t xml:space="preserve">)，以 EFS 算法，进行 Feature selection, 得到 Top 30 基因, 统计得分见 Fig.</w:t>
      </w:r>
      <w:r>
        <w:t xml:space="preserve"> </w:t>
      </w:r>
      <w:hyperlink w:anchor="LUSC-Top-Features-Selected-By-EFS">
        <w:r xmlns:w14="http://schemas.microsoft.com/office/word/2010/wordml">
          <w:rPr/>
          <w:fldChar w:fldCharType="begin" w:dirty="true"/>
        </w:r>
        <w:r xmlns:w14="http://schemas.microsoft.com/office/word/2010/wordml">
          <w:rPr/>
          <w:instrText xml:space="preserve" w:dirty="true"> REF LUSC-Top-Features-Selected-By-EFS \h</w:instrText>
        </w:r>
        <w:r xmlns:w14="http://schemas.microsoft.com/office/word/2010/wordml">
          <w:rPr/>
          <w:fldChar w:fldCharType="end" w:dirty="true"/>
        </w:r>
      </w:hyperlink>
      <w:r>
        <w:t xml:space="preserve">。</w:t>
      </w:r>
      <w:r>
        <w:t xml:space="preserve"> </w:t>
      </w:r>
      <w:r>
        <w:t xml:space="preserve">随后，以单因素 COX 回归，筛选能显著预测生存结局的基因。EFS 与单因素 COX 回归结果如 Tab.</w:t>
      </w:r>
      <w:r>
        <w:t xml:space="preserve"> </w:t>
      </w:r>
      <w:hyperlink w:anchor="LUSC-Uni-COX-cofficients-filtered-by-EFS">
        <w:r xmlns:w14="http://schemas.microsoft.com/office/word/2010/wordml">
          <w:rPr/>
          <w:fldChar w:fldCharType="begin" w:dirty="true"/>
        </w:r>
        <w:r xmlns:w14="http://schemas.microsoft.com/office/word/2010/wordml">
          <w:rPr/>
          <w:instrText xml:space="preserve" w:dirty="true"> REF LUSC-Uni-COX-cofficients-filtered-by-EFS \h</w:instrText>
        </w:r>
        <w:r xmlns:w14="http://schemas.microsoft.com/office/word/2010/wordml">
          <w:rPr/>
          <w:fldChar w:fldCharType="end" w:dirty="true"/>
        </w:r>
      </w:hyperlink>
      <w:r>
        <w:t xml:space="preserve">。共 9 个基因：SERPINE1, BCL2L2, SLC14A1, DYRK3, PDCD11, AGPAT3, COQ2, TPK1, MPZL1。</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0c5e94d1-e7ff-46f3-87fb-8ce55d9d39f5" w:name="LUSC-metadata"/>
      <w:r>
        <w:rPr>
          <w:rFonts/>
          <w:b w:val="true"/>
        </w:rPr>
        <w:fldChar w:fldCharType="begin" w:dirty="true"/>
      </w:r>
      <w:r>
        <w:rPr>
          <w:rFonts/>
          <w:b w:val="true"/>
        </w:rPr>
        <w:instrText xml:space="preserve" w:dirty="true">SEQ tab \* Arabic</w:instrText>
      </w:r>
      <w:r>
        <w:rPr>
          <w:rFonts/>
          <w:b w:val="true"/>
        </w:rPr>
        <w:fldChar w:fldCharType="end" w:dirty="true"/>
      </w:r>
      <w:bookmarkEnd w:id="0c5e94d1-e7ff-46f3-87fb-8ce55d9d39f5"/>
      <w:r>
        <w:rPr>
          <w:rFonts/>
          <w:b w:val="true"/>
        </w:rPr>
        <w:t xml:space="preserve">  </w:t>
      </w:r>
      <w:r>
        <w:t xml:space="preserve">LUSC metadata</w:t>
      </w:r>
    </w:p>
    <w:tbl xmlns:w14="http://schemas.microsoft.com/office/word/2010/wordml">
      <w:tblPr>
        <w:tblLayout w:type="fixed"/>
        <w:jc w:val="center"/>
        <w:tblLook w:firstRow="1" w:lastRow="0" w:firstColumn="0" w:lastColumn="0" w:noHBand="0" w:noVBand="1"/>
      </w:tblPr>
      <w:tblGrid>
        <w:gridCol w:w="785"/>
        <w:gridCol w:w="785"/>
        <w:gridCol w:w="785"/>
        <w:gridCol w:w="785"/>
        <w:gridCol w:w="785"/>
        <w:gridCol w:w="785"/>
        <w:gridCol w:w="785"/>
        <w:gridCol w:w="785"/>
        <w:gridCol w:w="785"/>
        <w:gridCol w:w="785"/>
        <w:gridCol w:w="785"/>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Lib.size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Barcode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Patient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ShortL...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Defini...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Sample......10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37255376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43492507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39714818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39975834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40747917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44429215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21735012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61555320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48526883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60443027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60226646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58365924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58631601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54098835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54921696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Primar...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TCGA-2...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Figure+Table/LUSC-metadata.xlsx)</w:t>
      </w:r>
    </w:p>
    <w:p>
      <w:pPr>
        <w:pStyle w:val="3"/>
      </w:pPr>
      <w:r>
        <w:rPr/>
        <w:drawing>
          <wp:inline distT="0" distB="0" distL="0" distR="0">
            <wp:extent cx="5669280" cy="6747412"/>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65"/>
                    <a:stretch>
                      <a:fillRect/>
                    </a:stretch>
                  </pic:blipFill>
                  <pic:spPr bwMode="auto">
                    <a:xfrm>
                      <a:off x="0" y="0"/>
                      <a:ext cx="78740" cy="93714"/>
                    </a:xfrm>
                    <a:prstGeom prst="rect">
                      <a:avLst/>
                    </a:prstGeom>
                    <a:noFill/>
                  </pic:spPr>
                </pic:pic>
              </a:graphicData>
            </a:graphic>
          </wp:inline>
        </w:drawing>
      </w:r>
    </w:p>
    <w:p>
      <w:pPr>
        <w:pStyle w:val="194"/>
      </w:pPr>
      <w:r>
        <w:rPr>
          <w:rFonts/>
          <w:b w:val="true"/>
        </w:rPr>
        <w:t xml:space="preserve">Fig. </w:t>
      </w:r>
      <w:bookmarkStart w:id="16aab32b-25fe-4abf-ba64-46998e703720" w:name="LUSC-Group-distribu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6aab32b-25fe-4abf-ba64-46998e703720"/>
      <w:r>
        <w:rPr>
          <w:rFonts/>
          <w:b w:val="true"/>
        </w:rPr>
        <w:t xml:space="preserve"> </w:t>
      </w:r>
      <w:r>
        <w:t xml:space="preserve">LUSC Group distribution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Figure+Table/LUSC-Group-distribution.pdf)</w:t>
      </w:r>
    </w:p>
    <w:p>
      <w:pPr>
        <w:pStyle w:val="3"/>
      </w:pPr>
      <w:r>
        <w:rPr/>
        <w:drawing>
          <wp:inline distT="0" distB="0" distL="0" distR="0">
            <wp:extent cx="5669280" cy="8642473"/>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66"/>
                    <a:stretch>
                      <a:fillRect/>
                    </a:stretch>
                  </pic:blipFill>
                  <pic:spPr bwMode="auto">
                    <a:xfrm>
                      <a:off x="0" y="0"/>
                      <a:ext cx="78740" cy="120034"/>
                    </a:xfrm>
                    <a:prstGeom prst="rect">
                      <a:avLst/>
                    </a:prstGeom>
                    <a:noFill/>
                  </pic:spPr>
                </pic:pic>
              </a:graphicData>
            </a:graphic>
          </wp:inline>
        </w:drawing>
      </w:r>
    </w:p>
    <w:p>
      <w:pPr>
        <w:pStyle w:val="194"/>
      </w:pPr>
      <w:r>
        <w:rPr>
          <w:rFonts/>
          <w:b w:val="true"/>
        </w:rPr>
        <w:t xml:space="preserve">Fig. </w:t>
      </w:r>
      <w:bookmarkStart w:id="c2dcc2ef-5ce7-4a27-900c-c8643b8190ec" w:name="LUSC-Top-Features-Selected-By-EF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2dcc2ef-5ce7-4a27-900c-c8643b8190ec"/>
      <w:r>
        <w:rPr>
          <w:rFonts/>
          <w:b w:val="true"/>
        </w:rPr>
        <w:t xml:space="preserve"> </w:t>
      </w:r>
      <w:r>
        <w:t xml:space="preserve">LUSC Top Features Selected By EFS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Figure+Table/LUSC-Top-Features-Selected-By-EFS.pdf)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174b1efd-5253-4ae8-a59f-7f824a8a3ab9" w:name="LUSC-Uni-COX-cofficients-filtered-by-EFS"/>
      <w:r>
        <w:rPr>
          <w:rFonts/>
          <w:b w:val="true"/>
        </w:rPr>
        <w:fldChar w:fldCharType="begin" w:dirty="true"/>
      </w:r>
      <w:r>
        <w:rPr>
          <w:rFonts/>
          <w:b w:val="true"/>
        </w:rPr>
        <w:instrText xml:space="preserve" w:dirty="true">SEQ tab \* Arabic</w:instrText>
      </w:r>
      <w:r>
        <w:rPr>
          <w:rFonts/>
          <w:b w:val="true"/>
        </w:rPr>
        <w:fldChar w:fldCharType="end" w:dirty="true"/>
      </w:r>
      <w:bookmarkEnd w:id="174b1efd-5253-4ae8-a59f-7f824a8a3ab9"/>
      <w:r>
        <w:rPr>
          <w:rFonts/>
          <w:b w:val="true"/>
        </w:rPr>
        <w:t xml:space="preserve">  </w:t>
      </w:r>
      <w:r>
        <w:t xml:space="preserve">LUSC Uni COX cofficients filtered by EFS</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Exp(coef)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Z</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P.adjust</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SERPINE1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0.24390416...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1.27622202...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0.11338208...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2.15117024...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0.03146276...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-0.4283650...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0.65157349...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0.14369845...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-2.9809998...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0.00287308...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0.45789329...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1.58074031...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0.09645783...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4.74708263...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2.06371657...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0.00184702...</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DYRK3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0.29492209...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1.34302172...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0.13055192...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2.25904045...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0.02388086...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PDCD11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-0.2666409...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0.76594805...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0.11389728...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-2.3410647...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0.01922883...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0.27364386...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1.31474648...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0.12352324...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2.21532281...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0.02673791...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COQ2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-0.2876134...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0.75005145...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0.12333293...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-2.3320085...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0.01970024...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TPK1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0.31038423...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1.36394908...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0.13272344...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2.33857877...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0.01935724...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r>
        <w:trPr>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MPZL1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0.30363800...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1.35477853...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0.11695141...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2.59627472...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0.00942406...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0.83624230...</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Figure+Table/LUSC-Uni-COX-cofficients-filtered-by-EFS.csv)</w:t>
      </w:r>
    </w:p>
    <w:p>
      <w:pPr>
        <w:pStyle w:val="4"/>
      </w:pPr>
      <w:bookmarkStart w:id="42" w:name="survival-生存分析-lusc"/>
      <w:r>
        <w:t xml:space="preserve">3.6	Survival 生存分析 (LUSC)</w:t>
      </w:r>
      <w:bookmarkEnd w:id="42"/>
    </w:p>
    <w:p>
      <w:pPr>
        <w:pStyle w:val="38"/>
      </w:pPr>
      <w:r>
        <w:t xml:space="preserve">这些基因表达特征如 Fig.</w:t>
      </w:r>
      <w:r>
        <w:t xml:space="preserve"> </w:t>
      </w:r>
      <w:hyperlink w:anchor="LUSC-risk-score-related-genes-heatmap">
        <w:r xmlns:w14="http://schemas.microsoft.com/office/word/2010/wordml">
          <w:rPr/>
          <w:fldChar w:fldCharType="begin" w:dirty="true"/>
        </w:r>
        <w:r xmlns:w14="http://schemas.microsoft.com/office/word/2010/wordml">
          <w:rPr/>
          <w:instrText xml:space="preserve" w:dirty="true"> REF LUSC-risk-score-related-genes-heatmap \h</w:instrText>
        </w:r>
        <w:r xmlns:w14="http://schemas.microsoft.com/office/word/2010/wordml">
          <w:rPr/>
          <w:fldChar w:fldCharType="end" w:dirty="true"/>
        </w:r>
      </w:hyperlink>
      <w:r>
        <w:t xml:space="preserve"> </w:t>
      </w:r>
      <w:r>
        <w:t xml:space="preserve">热图所示。</w:t>
      </w:r>
    </w:p>
    <w:p>
      <w:pPr>
        <w:pStyle w:val="3"/>
      </w:pPr>
      <w:r>
        <w:t xml:space="preserve">建立预后特征，构建风险评分：</w:t>
      </w:r>
    </w:p>
    <w:p>
      <w:pPr>
        <w:pStyle w:val="3"/>
      </w:pPr>
      <m:oMathPara>
        <m:oMathParaPr>
          <m:jc m:val="center"/>
        </m:oMathParaPr>
        <m:oMath>
          <m:r>
            <m:t>S</m:t>
          </m:r>
          <m:r>
            <m:t>c</m:t>
          </m:r>
          <m:r>
            <m:t>o</m:t>
          </m:r>
          <m:r>
            <m:t>r</m:t>
          </m:r>
          <m:r>
            <m:t>e</m:t>
          </m:r>
          <m:r>
            <m:t>=</m:t>
          </m:r>
          <m:r>
            <m:t>∑</m:t>
          </m:r>
          <m:r>
            <m:t>(</m:t>
          </m:r>
          <m:r>
            <m:t>e</m:t>
          </m:r>
          <m:r>
            <m:t>x</m:t>
          </m:r>
          <m:r>
            <m:t>p</m:t>
          </m:r>
          <m:r>
            <m:t>r</m:t>
          </m:r>
          <m:r>
            <m:t>(</m:t>
          </m:r>
          <m:r>
            <m:t>G</m:t>
          </m:r>
          <m:r>
            <m:t>e</m:t>
          </m:r>
          <m:r>
            <m:t>n</m:t>
          </m:r>
          <m:r>
            <m:t>e</m:t>
          </m:r>
          <m:r>
            <m:t>)</m:t>
          </m:r>
          <m:r>
            <m:t>×</m:t>
          </m:r>
          <m:r>
            <m:t>c</m:t>
          </m:r>
          <m:r>
            <m:t>o</m:t>
          </m:r>
          <m:r>
            <m:t>e</m:t>
          </m:r>
          <m:r>
            <m:t>f</m:t>
          </m:r>
          <m:r>
            <m:t>)</m:t>
          </m:r>
        </m:oMath>
      </m:oMathPara>
    </w:p>
    <w:p>
      <w:pPr>
        <w:pStyle w:val="38"/>
      </w:pPr>
      <w:r>
        <w:t xml:space="preserve">按中位风险评分，将病例分为 Low 和 High 风险组，随后进行生存分析，</w:t>
      </w:r>
      <w:r>
        <w:t xml:space="preserve"> </w:t>
      </w:r>
      <w:r>
        <w:t xml:space="preserve">见 Fig.</w:t>
      </w:r>
      <w:r>
        <w:t xml:space="preserve"> </w:t>
      </w:r>
      <w:hyperlink w:anchor="LUSC-survival-curve-of-risk-score">
        <w:r xmlns:w14="http://schemas.microsoft.com/office/word/2010/wordml">
          <w:rPr/>
          <w:fldChar w:fldCharType="begin" w:dirty="true"/>
        </w:r>
        <w:r xmlns:w14="http://schemas.microsoft.com/office/word/2010/wordml">
          <w:rPr/>
          <w:instrText xml:space="preserve" w:dirty="true"> REF LUSC-survival-curve-of-risk-score \h</w:instrText>
        </w:r>
        <w:r xmlns:w14="http://schemas.microsoft.com/office/word/2010/wordml">
          <w:rPr/>
          <w:fldChar w:fldCharType="end" w:dirty="true"/>
        </w:r>
      </w:hyperlink>
      <w:r>
        <w:t xml:space="preserve">。</w:t>
      </w:r>
      <w:r>
        <w:t xml:space="preserve"> </w:t>
      </w:r>
      <w:r>
        <w:t xml:space="preserve">AUC 见 Fig.</w:t>
      </w:r>
      <w:r>
        <w:t xml:space="preserve"> </w:t>
      </w:r>
      <w:hyperlink w:anchor="LUSC-time-ROC">
        <w:r xmlns:w14="http://schemas.microsoft.com/office/word/2010/wordml">
          <w:rPr/>
          <w:fldChar w:fldCharType="begin" w:dirty="true"/>
        </w:r>
        <w:r xmlns:w14="http://schemas.microsoft.com/office/word/2010/wordml">
          <w:rPr/>
          <w:instrText xml:space="preserve" w:dirty="true"> REF LUSC-time-ROC \h</w:instrText>
        </w:r>
        <w:r xmlns:w14="http://schemas.microsoft.com/office/word/2010/wordml">
          <w:rPr/>
          <w:fldChar w:fldCharType="end" w:dirty="true"/>
        </w:r>
      </w:hyperlink>
      <w:r>
        <w:t xml:space="preserve">。</w:t>
      </w:r>
      <w:r>
        <w:t xml:space="preserve"> </w:t>
      </w:r>
      <w:r>
        <w:t xml:space="preserve">第 1，3，5 年存活的患者，风险评分显著较低。</w:t>
      </w:r>
    </w:p>
    <w:p>
      <w:pPr>
        <w:pStyle w:val="3"/>
      </w:pPr>
      <w:r>
        <w:rPr/>
        <w:drawing>
          <wp:inline distT="0" distB="0" distL="0" distR="0">
            <wp:extent cx="5669280" cy="374091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67"/>
                    <a:stretch>
                      <a:fillRect/>
                    </a:stretch>
                  </pic:blipFill>
                  <pic:spPr bwMode="auto">
                    <a:xfrm>
                      <a:off x="0" y="0"/>
                      <a:ext cx="78740" cy="51957"/>
                    </a:xfrm>
                    <a:prstGeom prst="rect">
                      <a:avLst/>
                    </a:prstGeom>
                    <a:noFill/>
                  </pic:spPr>
                </pic:pic>
              </a:graphicData>
            </a:graphic>
          </wp:inline>
        </w:drawing>
      </w:r>
    </w:p>
    <w:p>
      <w:pPr>
        <w:pStyle w:val="194"/>
      </w:pPr>
      <w:r>
        <w:rPr>
          <w:rFonts/>
          <w:b w:val="true"/>
        </w:rPr>
        <w:t xml:space="preserve">Fig. </w:t>
      </w:r>
      <w:bookmarkStart w:id="4fc0ae71-9b75-468c-aa6b-b92e7f652400" w:name="LUSC-risk-score-related-gene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fc0ae71-9b75-468c-aa6b-b92e7f652400"/>
      <w:r>
        <w:rPr>
          <w:rFonts/>
          <w:b w:val="true"/>
        </w:rPr>
        <w:t xml:space="preserve"> </w:t>
      </w:r>
      <w:r>
        <w:t xml:space="preserve">LUSC risk score related genes heatmap</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Figure+Table/LUSC-risk-score-related-genes-heatmap.pdf)</w:t>
      </w:r>
    </w:p>
    <w:p>
      <w:pPr>
        <w:pStyle w:val="3"/>
      </w:pPr>
      <w:r>
        <w:rPr/>
        <w:drawing>
          <wp:inline distT="0" distB="0" distL="0" distR="0">
            <wp:extent cx="5669280" cy="4328512"/>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68"/>
                    <a:stretch>
                      <a:fillRect/>
                    </a:stretch>
                  </pic:blipFill>
                  <pic:spPr bwMode="auto">
                    <a:xfrm>
                      <a:off x="0" y="0"/>
                      <a:ext cx="78740" cy="60118"/>
                    </a:xfrm>
                    <a:prstGeom prst="rect">
                      <a:avLst/>
                    </a:prstGeom>
                    <a:noFill/>
                  </pic:spPr>
                </pic:pic>
              </a:graphicData>
            </a:graphic>
          </wp:inline>
        </w:drawing>
      </w:r>
    </w:p>
    <w:p>
      <w:pPr>
        <w:pStyle w:val="194"/>
      </w:pPr>
      <w:r>
        <w:rPr>
          <w:rFonts/>
          <w:b w:val="true"/>
        </w:rPr>
        <w:t xml:space="preserve">Fig. </w:t>
      </w:r>
      <w:bookmarkStart w:id="ac275c31-e8e7-4e21-a48b-409f16d7eddb" w:name="LUSC-survival-curve-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c275c31-e8e7-4e21-a48b-409f16d7eddb"/>
      <w:r>
        <w:rPr>
          <w:rFonts/>
          <w:b w:val="true"/>
        </w:rPr>
        <w:t xml:space="preserve"> </w:t>
      </w:r>
      <w:r>
        <w:t xml:space="preserve">LUSC survival curve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Figure+Table/LUSC-survival-curve-of-risk-score.pdf)</w:t>
      </w:r>
    </w:p>
    <w:p>
      <w:pPr>
        <w:pStyle w:val="3"/>
      </w:pPr>
      <w:r>
        <w:rPr/>
        <w:drawing>
          <wp:inline distT="0" distB="0" distL="0" distR="0">
            <wp:extent cx="5669280" cy="5174664"/>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69"/>
                    <a:stretch>
                      <a:fillRect/>
                    </a:stretch>
                  </pic:blipFill>
                  <pic:spPr bwMode="auto">
                    <a:xfrm>
                      <a:off x="0" y="0"/>
                      <a:ext cx="78740" cy="71870"/>
                    </a:xfrm>
                    <a:prstGeom prst="rect">
                      <a:avLst/>
                    </a:prstGeom>
                    <a:noFill/>
                  </pic:spPr>
                </pic:pic>
              </a:graphicData>
            </a:graphic>
          </wp:inline>
        </w:drawing>
      </w:r>
    </w:p>
    <w:p>
      <w:pPr>
        <w:pStyle w:val="194"/>
      </w:pPr>
      <w:r>
        <w:rPr>
          <w:rFonts/>
          <w:b w:val="true"/>
        </w:rPr>
        <w:t xml:space="preserve">Fig. </w:t>
      </w:r>
      <w:bookmarkStart w:id="bdae82a1-8729-4bb1-b8ef-1b21f35ab4af" w:name="LUSC-ti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dae82a1-8729-4bb1-b8ef-1b21f35ab4af"/>
      <w:r>
        <w:rPr>
          <w:rFonts/>
          <w:b w:val="true"/>
        </w:rPr>
        <w:t xml:space="preserve"> </w:t>
      </w:r>
      <w:r>
        <w:t xml:space="preserve">LUSC time ROC</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Figure+Table/LUSC-time-ROC.pdf)</w:t>
      </w:r>
    </w:p>
    <w:p>
      <w:pPr>
        <w:pStyle w:val="3"/>
      </w:pPr>
      <w:r>
        <w:rPr/>
        <w:drawing>
          <wp:inline distT="0" distB="0" distL="0" distR="0">
            <wp:extent cx="5669280" cy="558211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70"/>
                    <a:stretch>
                      <a:fillRect/>
                    </a:stretch>
                  </pic:blipFill>
                  <pic:spPr bwMode="auto">
                    <a:xfrm>
                      <a:off x="0" y="0"/>
                      <a:ext cx="78740" cy="77529"/>
                    </a:xfrm>
                    <a:prstGeom prst="rect">
                      <a:avLst/>
                    </a:prstGeom>
                    <a:noFill/>
                  </pic:spPr>
                </pic:pic>
              </a:graphicData>
            </a:graphic>
          </wp:inline>
        </w:drawing>
      </w:r>
    </w:p>
    <w:p>
      <w:pPr>
        <w:pStyle w:val="194"/>
      </w:pPr>
      <w:r>
        <w:rPr>
          <w:rFonts/>
          <w:b w:val="true"/>
        </w:rPr>
        <w:t xml:space="preserve">Fig. </w:t>
      </w:r>
      <w:bookmarkStart w:id="f627da86-b679-469c-bd8d-ec8eb0aa1cdd" w:name="LUSC-boxplot-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27da86-b679-469c-bd8d-ec8eb0aa1cdd"/>
      <w:r>
        <w:rPr>
          <w:rFonts/>
          <w:b w:val="true"/>
        </w:rPr>
        <w:t xml:space="preserve"> </w:t>
      </w:r>
      <w:r>
        <w:t xml:space="preserve">LUSC boxplot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Figure+Table/LUSC-boxplot-of-risk-score.pdf)</w:t>
      </w:r>
    </w:p>
    <w:p>
      <w:pPr>
        <w:pStyle w:val="4"/>
      </w:pPr>
      <w:bookmarkStart w:id="43" w:name="cox-回归-prognosis"/>
      <w:r>
        <w:t xml:space="preserve">3.7	COX 回归 (Prognosis)</w:t>
      </w:r>
      <w:bookmarkEnd w:id="43"/>
    </w:p>
    <w:p>
      <w:pPr>
        <w:pStyle w:val="38"/>
      </w:pPr>
      <w:r>
        <w:t xml:space="preserve">进一步通过单因素和多因素 COX 回归的方式评估了包括风险评分在内的4项预后特征 (smoking, treatment 等其他数据缺失值较多，不易处理) 。</w:t>
      </w:r>
    </w:p>
    <w:p>
      <w:pPr>
        <w:pStyle w:val="3"/>
      </w:pPr>
      <w:r>
        <w:t xml:space="preserve">单因素和多因素分析结果，风险评分是诊断早期肺癌预后的独立风险指标，见 Tab.</w:t>
      </w:r>
      <w:r>
        <w:t xml:space="preserve"> </w:t>
      </w:r>
      <w:hyperlink w:anchor="META-Coefficients-Of-COX">
        <w:r xmlns:w14="http://schemas.microsoft.com/office/word/2010/wordml">
          <w:rPr/>
          <w:fldChar w:fldCharType="begin" w:dirty="true"/>
        </w:r>
        <w:r xmlns:w14="http://schemas.microsoft.com/office/word/2010/wordml">
          <w:rPr/>
          <w:instrText xml:space="preserve" w:dirty="true"> REF META-Coefficients-Of-COX \h</w:instrText>
        </w:r>
        <w:r xmlns:w14="http://schemas.microsoft.com/office/word/2010/wordml">
          <w:rPr/>
          <w:fldChar w:fldCharType="end" w:dirty="true"/>
        </w:r>
      </w:hyperlink>
      <w:r>
        <w:t xml:space="preserve">。</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b5989593-c3f0-4d17-88ed-a8c88ae7412f" w:name="META-Coefficients-Of-COX"/>
      <w:r>
        <w:rPr>
          <w:rFonts/>
          <w:b w:val="true"/>
        </w:rPr>
        <w:fldChar w:fldCharType="begin" w:dirty="true"/>
      </w:r>
      <w:r>
        <w:rPr>
          <w:rFonts/>
          <w:b w:val="true"/>
        </w:rPr>
        <w:instrText xml:space="preserve" w:dirty="true">SEQ tab \* Arabic</w:instrText>
      </w:r>
      <w:r>
        <w:rPr>
          <w:rFonts/>
          <w:b w:val="true"/>
        </w:rPr>
        <w:fldChar w:fldCharType="end" w:dirty="true"/>
      </w:r>
      <w:bookmarkEnd w:id="b5989593-c3f0-4d17-88ed-a8c88ae7412f"/>
      <w:r>
        <w:rPr>
          <w:rFonts/>
          <w:b w:val="true"/>
        </w:rPr>
        <w:t xml:space="preserve">  </w:t>
      </w:r>
      <w:r>
        <w:t xml:space="preserve">META Coefficients Of COX</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 coefficients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Uni 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Multi coefficients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Multi 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Age (&gt;65/&lt;=64)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0.215192027477178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0.41311128570459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0.101704964279124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0.709950395815607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Gender (female/male)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0.183214670354876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0.523084334023976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0.36615958534245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0.209021149635656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AJCC stage (I/II)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0.0144776502394665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0.954293406973733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0.295933974836866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0.256805285385573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Risk score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0.54781086968627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6.06868708145961e-09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0.565964036073118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1.45743179043085e-09</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Figure+Table/META-Coefficients-Of-COX.csv)</w:t>
      </w:r>
    </w:p>
    <w:p>
      <w:pPr>
        <w:pStyle w:val="4"/>
      </w:pPr>
      <w:bookmarkStart w:id="44" w:name="geo-数据获取-geo_lusc"/>
      <w:r>
        <w:t xml:space="preserve">3.8	GEO 数据获取 (GEO_LUSC)</w:t>
      </w:r>
      <w:bookmarkEnd w:id="44"/>
    </w:p>
    <w:p>
      <w:pPr>
        <w:pStyle w:val="38"/>
      </w:pPr>
      <w:r>
        <w:t xml:space="preserve">为了验证预后特征在不同数据平台上的性能，这里获取了 GEO 数据平台的早期肺癌数据 (GSE157010，微阵列数据)，并筛选了 Stage 为 I，II 阶段的病例。</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48b41d33-0e16-4ee9-a593-ece879af4069" w:name="LUSC-GSE157010-metadata"/>
      <w:r>
        <w:rPr>
          <w:rFonts/>
          <w:b w:val="true"/>
        </w:rPr>
        <w:fldChar w:fldCharType="begin" w:dirty="true"/>
      </w:r>
      <w:r>
        <w:rPr>
          <w:rFonts/>
          <w:b w:val="true"/>
        </w:rPr>
        <w:instrText xml:space="preserve" w:dirty="true">SEQ tab \* Arabic</w:instrText>
      </w:r>
      <w:r>
        <w:rPr>
          <w:rFonts/>
          <w:b w:val="true"/>
        </w:rPr>
        <w:fldChar w:fldCharType="end" w:dirty="true"/>
      </w:r>
      <w:bookmarkEnd w:id="48b41d33-0e16-4ee9-a593-ece879af4069"/>
      <w:r>
        <w:rPr>
          <w:rFonts/>
          <w:b w:val="true"/>
        </w:rPr>
        <w:t xml:space="preserve">  </w:t>
      </w:r>
      <w:r>
        <w:t xml:space="preserve">LUSC GSE157010 metadata</w:t>
      </w:r>
    </w:p>
    <w:tbl xmlns:w14="http://schemas.microsoft.com/office/word/2010/wordml">
      <w:tblPr>
        <w:tblLayout w:type="fixed"/>
        <w:jc w:val="center"/>
        <w:tblLook w:firstRow="1" w:lastRow="0" w:firstColumn="0" w:lastColumn="0" w:noHBand="0" w:noVBand="1"/>
      </w:tblPr>
      <w:tblGrid>
        <w:gridCol w:w="864"/>
        <w:gridCol w:w="864"/>
        <w:gridCol w:w="864"/>
        <w:gridCol w:w="864"/>
        <w:gridCol w:w="864"/>
        <w:gridCol w:w="864"/>
        <w:gridCol w:w="864"/>
        <w:gridCol w:w="864"/>
        <w:gridCol w:w="864"/>
        <w:gridCol w:w="86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Sample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Vital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Group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Days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Title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Age.ch1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Diagno...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Os eve...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1259.5...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993.20...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2836.6...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452.71...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835.39...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581.91...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1919.3...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982.35...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Dead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671.67...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Alive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1880.8...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GSM475...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CAD 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Squamo...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Figure+Table/LUSC-GSE157010-metadata.csv)</w:t>
      </w:r>
    </w:p>
    <w:p>
      <w:pPr>
        <w:pStyle w:val="4"/>
      </w:pPr>
      <w:bookmarkStart w:id="45" w:name="survival-生存分析-geo_lusc"/>
      <w:r>
        <w:t xml:space="preserve">3.9	Survival 生存分析 (GEO_LUSC)</w:t>
      </w:r>
      <w:bookmarkEnd w:id="45"/>
    </w:p>
    <w:p>
      <w:pPr>
        <w:pStyle w:val="38"/>
      </w:pPr>
      <w:r>
        <w:t xml:space="preserve">GEO 数据集中，风险评分基因集表达特征见 Fig.</w:t>
      </w:r>
      <w:r>
        <w:t xml:space="preserve"> </w:t>
      </w:r>
      <w:hyperlink w:anchor="GEO-LUSC-risk-score-related-genes-heatmap">
        <w:r xmlns:w14="http://schemas.microsoft.com/office/word/2010/wordml">
          <w:rPr/>
          <w:fldChar w:fldCharType="begin" w:dirty="true"/>
        </w:r>
        <w:r xmlns:w14="http://schemas.microsoft.com/office/word/2010/wordml">
          <w:rPr/>
          <w:instrText xml:space="preserve" w:dirty="true"> REF GEO-LUSC-risk-score-related-genes-heatmap \h</w:instrText>
        </w:r>
        <w:r xmlns:w14="http://schemas.microsoft.com/office/word/2010/wordml">
          <w:rPr/>
          <w:fldChar w:fldCharType="end" w:dirty="true"/>
        </w:r>
      </w:hyperlink>
      <w:r>
        <w:t xml:space="preserve">。</w:t>
      </w:r>
      <w:r>
        <w:t xml:space="preserve"> </w:t>
      </w:r>
      <w:r>
        <w:t xml:space="preserve">将 GEO 数据集按相同的方式处理，并计算风险评分，</w:t>
      </w:r>
      <w:r>
        <w:t xml:space="preserve"> </w:t>
      </w:r>
      <w:r>
        <w:t xml:space="preserve">生存结果见 Fig.</w:t>
      </w:r>
      <w:r>
        <w:t xml:space="preserve"> </w:t>
      </w:r>
      <w:hyperlink w:anchor="GEO-LUSC-survival-curve-of-risk-score">
        <w:r xmlns:w14="http://schemas.microsoft.com/office/word/2010/wordml">
          <w:rPr/>
          <w:fldChar w:fldCharType="begin" w:dirty="true"/>
        </w:r>
        <w:r xmlns:w14="http://schemas.microsoft.com/office/word/2010/wordml">
          <w:rPr/>
          <w:instrText xml:space="preserve" w:dirty="true"> REF GEO-LUSC-survival-curve-of-risk-score \h</w:instrText>
        </w:r>
        <w:r xmlns:w14="http://schemas.microsoft.com/office/word/2010/wordml">
          <w:rPr/>
          <w:fldChar w:fldCharType="end" w:dirty="true"/>
        </w:r>
      </w:hyperlink>
      <w:r>
        <w:t xml:space="preserve">，高风险组与低风险组显著差异。</w:t>
      </w:r>
      <w:r>
        <w:t xml:space="preserve"> </w:t>
      </w:r>
      <w:r>
        <w:t xml:space="preserve">ROC 曲线见 Fig.</w:t>
      </w:r>
      <w:r>
        <w:t xml:space="preserve"> </w:t>
      </w:r>
      <w:hyperlink w:anchor="GEO-LUSC-time-ROC">
        <w:r xmlns:w14="http://schemas.microsoft.com/office/word/2010/wordml">
          <w:rPr/>
          <w:fldChar w:fldCharType="begin" w:dirty="true"/>
        </w:r>
        <w:r xmlns:w14="http://schemas.microsoft.com/office/word/2010/wordml">
          <w:rPr/>
          <w:instrText xml:space="preserve" w:dirty="true"> REF GEO-LUSC-time-ROC \h</w:instrText>
        </w:r>
        <w:r xmlns:w14="http://schemas.microsoft.com/office/word/2010/wordml">
          <w:rPr/>
          <w:fldChar w:fldCharType="end" w:dirty="true"/>
        </w:r>
      </w:hyperlink>
      <w:r>
        <w:t xml:space="preserve">。</w:t>
      </w:r>
      <w:r>
        <w:t xml:space="preserve"> </w:t>
      </w:r>
      <w:r>
        <w:t xml:space="preserve">第 1，3，5 年风险评分差异见 Fig.</w:t>
      </w:r>
      <w:r>
        <w:t xml:space="preserve"> </w:t>
      </w:r>
      <w:hyperlink w:anchor="GEO-LUSC-boxplot-of-risk-score">
        <w:r xmlns:w14="http://schemas.microsoft.com/office/word/2010/wordml">
          <w:rPr/>
          <w:fldChar w:fldCharType="begin" w:dirty="true"/>
        </w:r>
        <w:r xmlns:w14="http://schemas.microsoft.com/office/word/2010/wordml">
          <w:rPr/>
          <w:instrText xml:space="preserve" w:dirty="true"> REF GEO-LUSC-boxplot-of-risk-score \h</w:instrText>
        </w:r>
        <w:r xmlns:w14="http://schemas.microsoft.com/office/word/2010/wordml">
          <w:rPr/>
          <w:fldChar w:fldCharType="end" w:dirty="true"/>
        </w:r>
      </w:hyperlink>
      <w:r>
        <w:t xml:space="preserve"> </w:t>
      </w:r>
      <w:r>
        <w:t xml:space="preserve">。</w:t>
      </w:r>
    </w:p>
    <w:p>
      <w:pPr>
        <w:pStyle w:val="3"/>
      </w:pPr>
      <w:r>
        <w:rPr/>
        <w:drawing>
          <wp:inline distT="0" distB="0" distL="0" distR="0">
            <wp:extent cx="5669280" cy="374091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71"/>
                    <a:stretch>
                      <a:fillRect/>
                    </a:stretch>
                  </pic:blipFill>
                  <pic:spPr bwMode="auto">
                    <a:xfrm>
                      <a:off x="0" y="0"/>
                      <a:ext cx="78740" cy="51957"/>
                    </a:xfrm>
                    <a:prstGeom prst="rect">
                      <a:avLst/>
                    </a:prstGeom>
                    <a:noFill/>
                  </pic:spPr>
                </pic:pic>
              </a:graphicData>
            </a:graphic>
          </wp:inline>
        </w:drawing>
      </w:r>
    </w:p>
    <w:p>
      <w:pPr>
        <w:pStyle w:val="194"/>
      </w:pPr>
      <w:r>
        <w:rPr>
          <w:rFonts/>
          <w:b w:val="true"/>
        </w:rPr>
        <w:t xml:space="preserve">Fig. </w:t>
      </w:r>
      <w:bookmarkStart w:id="f6ba0b04-ad28-402d-9333-3dbee73a6154" w:name="GEO-LUSC-risk-score-related-genes-heatmap"/>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6ba0b04-ad28-402d-9333-3dbee73a6154"/>
      <w:r>
        <w:rPr>
          <w:rFonts/>
          <w:b w:val="true"/>
        </w:rPr>
        <w:t xml:space="preserve"> </w:t>
      </w:r>
      <w:r>
        <w:t xml:space="preserve">GEO LUSC risk score related genes heatmap</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Figure+Table/GEO-LUSC-risk-score-related-genes-heatmap.pdf)</w:t>
      </w:r>
    </w:p>
    <w:p>
      <w:pPr>
        <w:pStyle w:val="3"/>
      </w:pPr>
      <w:r>
        <w:rPr/>
        <w:drawing>
          <wp:inline distT="0" distB="0" distL="0" distR="0">
            <wp:extent cx="5669280" cy="558211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72"/>
                    <a:stretch>
                      <a:fillRect/>
                    </a:stretch>
                  </pic:blipFill>
                  <pic:spPr bwMode="auto">
                    <a:xfrm>
                      <a:off x="0" y="0"/>
                      <a:ext cx="78740" cy="77529"/>
                    </a:xfrm>
                    <a:prstGeom prst="rect">
                      <a:avLst/>
                    </a:prstGeom>
                    <a:noFill/>
                  </pic:spPr>
                </pic:pic>
              </a:graphicData>
            </a:graphic>
          </wp:inline>
        </w:drawing>
      </w:r>
    </w:p>
    <w:p>
      <w:pPr>
        <w:pStyle w:val="194"/>
      </w:pPr>
      <w:r>
        <w:rPr>
          <w:rFonts/>
          <w:b w:val="true"/>
        </w:rPr>
        <w:t xml:space="preserve">Fig. </w:t>
      </w:r>
      <w:bookmarkStart w:id="3beb477e-37c8-4e79-9aff-a3423656d9b8" w:name="GEO-LUSC-boxplot-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beb477e-37c8-4e79-9aff-a3423656d9b8"/>
      <w:r>
        <w:rPr>
          <w:rFonts/>
          <w:b w:val="true"/>
        </w:rPr>
        <w:t xml:space="preserve"> </w:t>
      </w:r>
      <w:r>
        <w:t xml:space="preserve">GEO LUSC boxplot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Figure+Table/GEO-LUSC-boxplot-of-risk-score.pdf)</w:t>
      </w:r>
    </w:p>
    <w:p>
      <w:pPr>
        <w:pStyle w:val="3"/>
      </w:pPr>
      <w:r>
        <w:rPr/>
        <w:drawing>
          <wp:inline distT="0" distB="0" distL="0" distR="0">
            <wp:extent cx="5669280" cy="5174664"/>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73"/>
                    <a:stretch>
                      <a:fillRect/>
                    </a:stretch>
                  </pic:blipFill>
                  <pic:spPr bwMode="auto">
                    <a:xfrm>
                      <a:off x="0" y="0"/>
                      <a:ext cx="78740" cy="71870"/>
                    </a:xfrm>
                    <a:prstGeom prst="rect">
                      <a:avLst/>
                    </a:prstGeom>
                    <a:noFill/>
                  </pic:spPr>
                </pic:pic>
              </a:graphicData>
            </a:graphic>
          </wp:inline>
        </w:drawing>
      </w:r>
    </w:p>
    <w:p>
      <w:pPr>
        <w:pStyle w:val="194"/>
      </w:pPr>
      <w:r>
        <w:rPr>
          <w:rFonts/>
          <w:b w:val="true"/>
        </w:rPr>
        <w:t xml:space="preserve">Fig. </w:t>
      </w:r>
      <w:bookmarkStart w:id="06b204de-ccad-48b0-a173-9405500916f8" w:name="GEO-LUSC-time-RO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6b204de-ccad-48b0-a173-9405500916f8"/>
      <w:r>
        <w:rPr>
          <w:rFonts/>
          <w:b w:val="true"/>
        </w:rPr>
        <w:t xml:space="preserve"> </w:t>
      </w:r>
      <w:r>
        <w:t xml:space="preserve">GEO LUSC time ROC</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Figure+Table/GEO-LUSC-time-ROC.pdf)</w:t>
      </w:r>
    </w:p>
    <w:p>
      <w:pPr>
        <w:pStyle w:val="3"/>
      </w:pPr>
      <w:r>
        <w:rPr/>
        <w:drawing>
          <wp:inline distT="0" distB="0" distL="0" distR="0">
            <wp:extent cx="5669280" cy="4328512"/>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74"/>
                    <a:stretch>
                      <a:fillRect/>
                    </a:stretch>
                  </pic:blipFill>
                  <pic:spPr bwMode="auto">
                    <a:xfrm>
                      <a:off x="0" y="0"/>
                      <a:ext cx="78740" cy="60118"/>
                    </a:xfrm>
                    <a:prstGeom prst="rect">
                      <a:avLst/>
                    </a:prstGeom>
                    <a:noFill/>
                  </pic:spPr>
                </pic:pic>
              </a:graphicData>
            </a:graphic>
          </wp:inline>
        </w:drawing>
      </w:r>
    </w:p>
    <w:p>
      <w:pPr>
        <w:pStyle w:val="194"/>
      </w:pPr>
      <w:r>
        <w:rPr>
          <w:rFonts/>
          <w:b w:val="true"/>
        </w:rPr>
        <w:t xml:space="preserve">Fig. </w:t>
      </w:r>
      <w:bookmarkStart w:id="119f3e76-7b70-4346-abb2-ce350baa4c8a" w:name="GEO-LUSC-survival-curve-of-risk-scor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19f3e76-7b70-4346-abb2-ce350baa4c8a"/>
      <w:r>
        <w:rPr>
          <w:rFonts/>
          <w:b w:val="true"/>
        </w:rPr>
        <w:t xml:space="preserve"> </w:t>
      </w:r>
      <w:r>
        <w:t xml:space="preserve">GEO LUSC survival curve of risk score</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Figure+Table/GEO-LUSC-survival-curve-of-risk-score.pdf)</w:t>
      </w:r>
    </w:p>
    <w:p>
      <w:pPr>
        <w:pStyle w:val="4"/>
      </w:pPr>
      <w:bookmarkStart w:id="46" w:name="estimate-免疫评分-lusc"/>
      <w:r>
        <w:t xml:space="preserve">3.10	estimate 免疫评分 (LUSC)</w:t>
      </w:r>
      <w:bookmarkEnd w:id="46"/>
    </w:p>
    <w:p>
      <w:pPr>
        <w:pStyle w:val="38"/>
      </w:pPr>
      <w:r>
        <w:t xml:space="preserve">为了探索标记与肿瘤免疫微环境之间的关系，我们对来自 TCGA LUSC 的数据进行了 ESTIMATE 计算免疫评分、ESTIMATE 评分和stromal 评分。根据评分结果，将病例分为 High 组和 Low 组，免疫评分和 ESTIMATE 评分较低的患者具有较高的风险评分，见 Fig.</w:t>
      </w:r>
      <w:r>
        <w:t xml:space="preserve"> </w:t>
      </w:r>
      <w:hyperlink w:anchor="LUSC-immune-Scores-Plot">
        <w:r xmlns:w14="http://schemas.microsoft.com/office/word/2010/wordml">
          <w:rPr/>
          <w:fldChar w:fldCharType="begin" w:dirty="true"/>
        </w:r>
        <w:r xmlns:w14="http://schemas.microsoft.com/office/word/2010/wordml">
          <w:rPr/>
          <w:instrText xml:space="preserve" w:dirty="true"> REF LUSC-immune-Scores-Plot \h</w:instrText>
        </w:r>
        <w:r xmlns:w14="http://schemas.microsoft.com/office/word/2010/wordml">
          <w:rPr/>
          <w:fldChar w:fldCharType="end" w:dirty="true"/>
        </w:r>
      </w:hyperlink>
      <w:r>
        <w:t xml:space="preserve">。</w:t>
      </w:r>
      <w:r>
        <w:t xml:space="preserve"> </w:t>
      </w:r>
      <w:r>
        <w:t xml:space="preserve">此外，还比较了高危组和低危组之间编码免疫调节剂和趋化因子的基因的表达情况。从 TISIDB 数据库下载的 178 个基因中，有 127 个可以在 TCGA 表达矩阵中找到，两组之间有 119 个表达存在差异 (p.value &lt; 0.05)。</w:t>
      </w:r>
      <w:r>
        <w:t xml:space="preserve"> </w:t>
      </w:r>
      <w:r>
        <w:t xml:space="preserve">前 10 个基因见 Fig.</w:t>
      </w:r>
      <w:r>
        <w:t xml:space="preserve"> </w:t>
      </w:r>
      <w:hyperlink w:anchor="LUSC-Top10-Immune-Related-Genes">
        <w:r xmlns:w14="http://schemas.microsoft.com/office/word/2010/wordml">
          <w:rPr/>
          <w:fldChar w:fldCharType="begin" w:dirty="true"/>
        </w:r>
        <w:r xmlns:w14="http://schemas.microsoft.com/office/word/2010/wordml">
          <w:rPr/>
          <w:instrText xml:space="preserve" w:dirty="true"> REF LUSC-Top10-Immune-Related-Genes \h</w:instrText>
        </w:r>
        <w:r xmlns:w14="http://schemas.microsoft.com/office/word/2010/wordml">
          <w:rPr/>
          <w:fldChar w:fldCharType="end" w:dirty="true"/>
        </w:r>
      </w:hyperlink>
      <w:r>
        <w:t xml:space="preserve">。</w:t>
      </w:r>
    </w:p>
    <w:p>
      <w:pPr>
        <w:pStyle w:val="3"/>
      </w:pPr>
      <w:r>
        <w:rPr/>
        <w:drawing>
          <wp:inline distT="0" distB="0" distL="0" distR="0">
            <wp:extent cx="5669280" cy="2355783"/>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75"/>
                    <a:stretch>
                      <a:fillRect/>
                    </a:stretch>
                  </pic:blipFill>
                  <pic:spPr bwMode="auto">
                    <a:xfrm>
                      <a:off x="0" y="0"/>
                      <a:ext cx="78740" cy="32719"/>
                    </a:xfrm>
                    <a:prstGeom prst="rect">
                      <a:avLst/>
                    </a:prstGeom>
                    <a:noFill/>
                  </pic:spPr>
                </pic:pic>
              </a:graphicData>
            </a:graphic>
          </wp:inline>
        </w:drawing>
      </w:r>
    </w:p>
    <w:p>
      <w:pPr>
        <w:pStyle w:val="194"/>
      </w:pPr>
      <w:r>
        <w:rPr>
          <w:rFonts/>
          <w:b w:val="true"/>
        </w:rPr>
        <w:t xml:space="preserve">Fig. </w:t>
      </w:r>
      <w:bookmarkStart w:id="27f2afe6-fbc3-4276-ac16-f99cec18ab04" w:name="LUSC-immune-Scores-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7f2afe6-fbc3-4276-ac16-f99cec18ab04"/>
      <w:r>
        <w:rPr>
          <w:rFonts/>
          <w:b w:val="true"/>
        </w:rPr>
        <w:t xml:space="preserve"> </w:t>
      </w:r>
      <w:r>
        <w:t xml:space="preserve">LUSC immune Scores Plot</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Figure+Table/LUSC-immune-Scores-Plot.pdf)</w:t>
      </w:r>
    </w:p>
    <w:p>
      <w:pPr>
        <w:pStyle w:val="3"/>
      </w:pPr>
      <w:r>
        <w:rPr/>
        <w:drawing>
          <wp:inline distT="0" distB="0" distL="0" distR="0">
            <wp:extent cx="5669280" cy="331603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76"/>
                    <a:stretch>
                      <a:fillRect/>
                    </a:stretch>
                  </pic:blipFill>
                  <pic:spPr bwMode="auto">
                    <a:xfrm>
                      <a:off x="0" y="0"/>
                      <a:ext cx="78740" cy="46056"/>
                    </a:xfrm>
                    <a:prstGeom prst="rect">
                      <a:avLst/>
                    </a:prstGeom>
                    <a:noFill/>
                  </pic:spPr>
                </pic:pic>
              </a:graphicData>
            </a:graphic>
          </wp:inline>
        </w:drawing>
      </w:r>
    </w:p>
    <w:p>
      <w:pPr>
        <w:pStyle w:val="194"/>
      </w:pPr>
      <w:r>
        <w:rPr>
          <w:rFonts/>
          <w:b w:val="true"/>
        </w:rPr>
        <w:t xml:space="preserve">Fig. </w:t>
      </w:r>
      <w:bookmarkStart w:id="ef16ca1e-7f14-440d-905f-3a3a5e5b5c70" w:name="LUSC-Top10-Immune-Related-Gene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f16ca1e-7f14-440d-905f-3a3a5e5b5c70"/>
      <w:r>
        <w:rPr>
          <w:rFonts/>
          <w:b w:val="true"/>
        </w:rPr>
        <w:t xml:space="preserve"> </w:t>
      </w:r>
      <w:r>
        <w:t xml:space="preserve">LUSC Top10 Immune Related Genes</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Figure+Table/LUSC-Top10-Immune-Related-Genes.pdf)</w:t>
      </w:r>
    </w:p>
    <w:p>
      <w:pPr>
        <w:pStyle w:val="4"/>
      </w:pPr>
      <w:bookmarkStart w:id="47" w:name="limma-差异分析-lncrna"/>
      <w:r>
        <w:t xml:space="preserve">3.11	Limma 差异分析 (LNCRNA)</w:t>
      </w:r>
      <w:bookmarkEnd w:id="47"/>
    </w:p>
    <w:p>
      <w:pPr>
        <w:pStyle w:val="38"/>
      </w:pPr>
      <w:r>
        <w:t xml:space="preserve">长链非编码RNA（lncRNA）在基因调控和癌症发展中起着重要作用。</w:t>
      </w:r>
      <w:r>
        <w:t xml:space="preserve"> </w:t>
      </w:r>
      <w:r>
        <w:t xml:space="preserve">这里对 lncRNA 做了差异分析，并与 mRNA 关联分析。</w:t>
      </w:r>
      <w:r>
        <w:t xml:space="preserve"> </w:t>
      </w:r>
      <w:r>
        <w:t xml:space="preserve">差异分析 Early_stage vs Healthy, Advanced_stage vs Healthy, Advanced_stage vs Early_stage (若 A vs B，则为前者比后者，LogFC 大于 0 时，A 表达量高于 B)。</w:t>
      </w:r>
      <w:r>
        <w:t xml:space="preserve"> </w:t>
      </w:r>
      <w:r>
        <w:t xml:space="preserve">得到的 DEGs 统计见 Fig.</w:t>
      </w:r>
      <w:r>
        <w:t xml:space="preserve"> </w:t>
      </w:r>
      <w:hyperlink w:anchor="LNCRNA-Difference-intersection">
        <w:r xmlns:w14="http://schemas.microsoft.com/office/word/2010/wordml">
          <w:rPr/>
          <w:fldChar w:fldCharType="begin" w:dirty="true"/>
        </w:r>
        <w:r xmlns:w14="http://schemas.microsoft.com/office/word/2010/wordml">
          <w:rPr/>
          <w:instrText xml:space="preserve" w:dirty="true"> REF LNCRNA-Difference-intersection \h</w:instrText>
        </w:r>
        <w:r xmlns:w14="http://schemas.microsoft.com/office/word/2010/wordml">
          <w:rPr/>
          <w:fldChar w:fldCharType="end" w:dirty="true"/>
        </w:r>
      </w:hyperlink>
      <w:r>
        <w:t xml:space="preserve">。</w:t>
      </w:r>
      <w:r>
        <w:t xml:space="preserve"> </w:t>
      </w:r>
      <w:r>
        <w:t xml:space="preserve">所有上调 DEGs 有 539 个，下调共 781；一共 1278 个 (非重复)。。</w:t>
      </w:r>
    </w:p>
    <w:p>
      <w:pPr>
        <w:pStyle w:val="200"/>
      </w:pPr>
      <w:r>
        <w:rPr>
          <w:rStyle w:val="197"/>
        </w:rPr>
        <w:t xml:space="preserve">Note: The directory 'Figure+Table/LNCRNA-DEGs-data' contains 3 files.</w:t>
      </w:r>
      <w:r>
        <w:br/>
      </w:r>
      <w:r>
        <w:br/>
      </w:r>
      <w:r>
        <w:rPr>
          <w:rStyle w:val="197"/>
        </w:rPr>
        <w:t xml:space="preserve">1 1_Early_stage - Healthy.csv</w:t>
      </w:r>
      <w:r>
        <w:br/>
      </w:r>
      <w:r>
        <w:rPr>
          <w:rStyle w:val="197"/>
        </w:rPr>
        <w:t xml:space="preserve">2 2_Advanced_stage - Healthy.csv</w:t>
      </w:r>
      <w:r>
        <w:br/>
      </w:r>
      <w:r>
        <w:rPr>
          <w:rStyle w:val="197"/>
        </w:rPr>
        <w:t xml:space="preserve">3 3_Advanced_stage - Early_stage.csv</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Figure+Table/LNCRNA-DEGs-data)</w:t>
      </w:r>
    </w:p>
    <w:p>
      <w:pPr>
        <w:pStyle w:val="38"/>
      </w:pPr>
      <w:r>
        <w:rPr/>
        <w:drawing>
          <wp:inline distT="0" distB="0" distL="0" distR="0">
            <wp:extent cx="5669280" cy="4491072"/>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77"/>
                    <a:stretch>
                      <a:fillRect/>
                    </a:stretch>
                  </pic:blipFill>
                  <pic:spPr bwMode="auto">
                    <a:xfrm>
                      <a:off x="0" y="0"/>
                      <a:ext cx="78740" cy="62376"/>
                    </a:xfrm>
                    <a:prstGeom prst="rect">
                      <a:avLst/>
                    </a:prstGeom>
                    <a:noFill/>
                  </pic:spPr>
                </pic:pic>
              </a:graphicData>
            </a:graphic>
          </wp:inline>
        </w:drawing>
      </w:r>
    </w:p>
    <w:p>
      <w:pPr>
        <w:pStyle w:val="194"/>
      </w:pPr>
      <w:r>
        <w:rPr>
          <w:rFonts/>
          <w:b w:val="true"/>
        </w:rPr>
        <w:t xml:space="preserve">Fig. </w:t>
      </w:r>
      <w:bookmarkStart w:id="2532e15b-0c74-4af9-9981-61965a0697e7" w:name="LNCRNA-Difference-intersec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532e15b-0c74-4af9-9981-61965a0697e7"/>
      <w:r>
        <w:rPr>
          <w:rFonts/>
          <w:b w:val="true"/>
        </w:rPr>
        <w:t xml:space="preserve"> </w:t>
      </w:r>
      <w:r>
        <w:t xml:space="preserve">LNCRNA Difference 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Figure+Table/LNCRNA-Difference-intersection.pdf)</w:t>
      </w:r>
    </w:p>
    <w:p>
      <w:pPr>
        <w:numPr>
          <w:ilvl w:val="0"/>
          <w:numId w:val="1005"/>
        </w:numPr>
        <w:pStyle w:val="186"/>
      </w:pPr>
      <w:r>
        <w:t xml:space="preserve">All_intersection:</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(See: Figure+Table/LNCRNA-Difference-intersection-content)</w:t>
      </w:r>
    </w:p>
    <w:p>
      <w:pPr>
        <w:pStyle w:val="4"/>
      </w:pPr>
      <w:bookmarkStart w:id="48" w:name="关联分析-mrna-lncrna"/>
      <w:r>
        <w:t xml:space="preserve">3.12	关联分析 (MRNA, LNCRNA)</w:t>
      </w:r>
      <w:bookmarkEnd w:id="48"/>
    </w:p>
    <w:p>
      <w:pPr>
        <w:pStyle w:val="38"/>
      </w:pPr>
      <w:r>
        <w:t xml:space="preserve">将相关系数 &gt; 0.6 和 p &lt; 0.001 设定为识别相关阈值，最终建立网络图见 Fig.</w:t>
      </w:r>
      <w:r>
        <w:t xml:space="preserve"> </w:t>
      </w:r>
      <w:hyperlink w:anchor="Significant-Correlation-mrna-lncRNA">
        <w:r xmlns:w14="http://schemas.microsoft.com/office/word/2010/wordml">
          <w:rPr/>
          <w:fldChar w:fldCharType="begin" w:dirty="true"/>
        </w:r>
        <w:r xmlns:w14="http://schemas.microsoft.com/office/word/2010/wordml">
          <w:rPr/>
          <w:instrText xml:space="preserve" w:dirty="true"> REF Significant-Correlation-mrna-lncRNA \h</w:instrText>
        </w:r>
        <w:r xmlns:w14="http://schemas.microsoft.com/office/word/2010/wordml">
          <w:rPr/>
          <w:fldChar w:fldCharType="end" w:dirty="true"/>
        </w:r>
      </w:hyperlink>
      <w:r>
        <w:t xml:space="preserve">。</w:t>
      </w:r>
      <w:r>
        <w:t xml:space="preserve"> </w:t>
      </w:r>
      <w:r>
        <w:t xml:space="preserve">共包含 4 个 mRNA，4 个 lncRNA，52 对关联关系。</w:t>
      </w:r>
    </w:p>
    <w:p>
      <w:pPr>
        <w:pStyle w:val="3"/>
      </w:pPr>
      <w:r>
        <w:rPr/>
        <w:drawing>
          <wp:inline distT="0" distB="0" distL="0" distR="0">
            <wp:extent cx="5669280" cy="4549015"/>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78"/>
                    <a:stretch>
                      <a:fillRect/>
                    </a:stretch>
                  </pic:blipFill>
                  <pic:spPr bwMode="auto">
                    <a:xfrm>
                      <a:off x="0" y="0"/>
                      <a:ext cx="78740" cy="63181"/>
                    </a:xfrm>
                    <a:prstGeom prst="rect">
                      <a:avLst/>
                    </a:prstGeom>
                    <a:noFill/>
                  </pic:spPr>
                </pic:pic>
              </a:graphicData>
            </a:graphic>
          </wp:inline>
        </w:drawing>
      </w:r>
    </w:p>
    <w:p>
      <w:pPr>
        <w:pStyle w:val="194"/>
      </w:pPr>
      <w:r>
        <w:rPr>
          <w:rFonts/>
          <w:b w:val="true"/>
        </w:rPr>
        <w:t xml:space="preserve">Fig. </w:t>
      </w:r>
      <w:bookmarkStart w:id="546e7902-aa23-482b-90cd-d8e5c9441453" w:name="Significant-Correlation-mrna-lncRNA"/>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546e7902-aa23-482b-90cd-d8e5c9441453"/>
      <w:r>
        <w:rPr>
          <w:rFonts/>
          <w:b w:val="true"/>
        </w:rPr>
        <w:t xml:space="preserve"> </w:t>
      </w:r>
      <w:r>
        <w:t xml:space="preserve">Significant Correlation mrna lncRNA</w:t>
      </w: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Figure+Table/Significant-Correlation-mrna-lncRNA.pdf)</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593a73b2-0849-444c-b893-55d9279426df" w:name="Significant-correlation"/>
      <w:r>
        <w:rPr>
          <w:rFonts/>
          <w:b w:val="true"/>
        </w:rPr>
        <w:fldChar w:fldCharType="begin" w:dirty="true"/>
      </w:r>
      <w:r>
        <w:rPr>
          <w:rFonts/>
          <w:b w:val="true"/>
        </w:rPr>
        <w:instrText xml:space="preserve" w:dirty="true">SEQ tab \* Arabic</w:instrText>
      </w:r>
      <w:r>
        <w:rPr>
          <w:rFonts/>
          <w:b w:val="true"/>
        </w:rPr>
        <w:fldChar w:fldCharType="end" w:dirty="true"/>
      </w:r>
      <w:bookmarkEnd w:id="593a73b2-0849-444c-b893-55d9279426df"/>
      <w:r>
        <w:rPr>
          <w:rFonts/>
          <w:b w:val="true"/>
        </w:rPr>
        <w:t xml:space="preserve">  </w:t>
      </w:r>
      <w:r>
        <w:t xml:space="preserve">Significant correlation</w:t>
      </w:r>
    </w:p>
    <w:tbl xmlns:w14="http://schemas.microsoft.com/office/word/2010/wordml">
      <w:tblPr>
        <w:tblLayout w:type="fixed"/>
        <w:jc w:val="center"/>
        <w:tblLook w:firstRow="1" w:lastRow="0" w:firstColumn="0" w:lastColumn="0" w:noHBand="0" w:noVBand="1"/>
      </w:tblPr>
      <w:tblGrid>
        <w:gridCol w:w="1234"/>
        <w:gridCol w:w="1234"/>
        <w:gridCol w:w="1234"/>
        <w:gridCol w:w="1234"/>
        <w:gridCol w:w="1234"/>
        <w:gridCol w:w="1234"/>
        <w:gridCol w:w="1234"/>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MRNA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LncRNA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Pvalue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-log2(P.va...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Significant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Sign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HBB</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NCKIPSD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MAFG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TMPPE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PEAR1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PROS1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SYNM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TOM1L2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TOM1L2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DPY19L1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SLC14A1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GYPA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SH3TC2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AGPAT3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STIM1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BCL2L2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STIM1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16.6096404...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&lt; 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b w:val="true"/>
        </w:rPr>
        <w:t xml:space="preserve">(File path: Figure+Table/Significant-correlation.csv)</w:t>
      </w:r>
    </w:p>
    <w:p>
      <w:pPr>
        <w:pStyle w:val="4"/>
      </w:pPr>
      <w:bookmarkStart w:id="49" w:name="实验验证"/>
      <w:r>
        <w:t xml:space="preserve">3.13	实验验证</w:t>
      </w:r>
      <w:bookmarkEnd w:id="49"/>
    </w:p>
    <w:p>
      <w:pPr>
        <w:pStyle w:val="38"/>
      </w:pPr>
      <w:r>
        <w:t xml:space="preserve">请参考 (2023,</w:t>
      </w:r>
      <w:r>
        <w:t xml:space="preserve"> </w:t>
      </w:r>
      <w:r>
        <w:rPr>
          <w:b/>
        </w:rPr>
        <w:t xml:space="preserve">IF:4.8</w:t>
      </w:r>
      <w:r>
        <w:t xml:space="preserve">, Q1, Biomolecules)</w:t>
      </w:r>
      <w:r>
        <w:rPr>
          <w:vertAlign w:val="superscript"/>
        </w:rPr>
        <w:t xml:space="preserve">1</w:t>
      </w:r>
    </w:p>
    <w:p>
      <w:pPr>
        <w:pStyle w:val="2"/>
      </w:pPr>
      <w:bookmarkStart w:id="50" w:name="conclusion"/>
      <w:r>
        <w:t xml:space="preserve">4	总结</w:t>
      </w:r>
      <w:bookmarkEnd w:id="50"/>
    </w:p>
    <w:p>
      <w:pPr>
        <w:pStyle w:val="38"/>
      </w:pPr>
      <w:r>
        <w:t xml:space="preserve">本研究为肺癌早期诊断建立了预后的独立风险指标，这些基因是 ，</w:t>
      </w:r>
      <w:r>
        <w:t xml:space="preserve"> </w:t>
      </w:r>
      <w:r>
        <w:t xml:space="preserve">可预测肺癌 LUSC 中，Sage I、II 的预后疗效。</w:t>
      </w:r>
      <w:r>
        <w:t xml:space="preserve"> </w:t>
      </w:r>
      <w:r>
        <w:t xml:space="preserve">该风险评分对于 RNA-seq 可能有更敏感的评估，因为我们在 GEO 的微阵列数据集中，High 组与 Low 组</w:t>
      </w:r>
      <w:r>
        <w:t xml:space="preserve"> </w:t>
      </w:r>
      <w:r>
        <w:t xml:space="preserve">的风险评分差异不如 TCGA 显著。由于 GEO 中，包含生存结局和详细临床数据记录的数据集不多，</w:t>
      </w:r>
      <w:r>
        <w:t xml:space="preserve"> </w:t>
      </w:r>
      <w:r>
        <w:t xml:space="preserve">我们未能更多的验证。</w:t>
      </w:r>
      <w:r>
        <w:t xml:space="preserve"> </w:t>
      </w:r>
      <w:r>
        <w:t xml:space="preserve">后续评估发现，该风险评分与免疫微环境 (根据 ESTIMATE 评分) 显著相关。</w:t>
      </w:r>
    </w:p>
    <w:p>
      <w:pPr>
        <w:pStyle w:val="2"/>
      </w:pPr>
      <w:bookmarkStart w:id="51" w:name="bibliography"/>
      <w:r>
        <w:t xml:space="preserve">Reference</w:t>
      </w:r>
      <w:bookmarkEnd w:id="51"/>
    </w:p>
    <w:bookmarkStart w:id="62" w:name="refs"/>
    <w:bookmarkStart w:id="52" w:name="ref-HCC_RNA_Sequen_Wang_2023"/>
    <w:p>
      <w:pPr>
        <w:pStyle w:val="189"/>
      </w:pPr>
      <w:r>
        <w:t xml:space="preserve">1. Wang, H.</w:t>
      </w:r>
      <w:r>
        <w:t xml:space="preserve"> </w:t>
      </w:r>
      <w:r>
        <w:rPr>
          <w:i/>
        </w:rPr>
        <w:t xml:space="preserve">et al.</w:t>
      </w:r>
      <w:r>
        <w:t xml:space="preserve"> </w:t>
      </w:r>
      <w:r>
        <w:t xml:space="preserve">HCC: RNA-sequencing in cirrhosis.</w:t>
      </w:r>
      <w:r>
        <w:t xml:space="preserve"> </w:t>
      </w:r>
      <w:r>
        <w:rPr>
          <w:i/>
        </w:rPr>
        <w:t xml:space="preserve">Biomolecules</w:t>
      </w:r>
      <w:r>
        <w:t xml:space="preserve"> </w:t>
      </w:r>
      <w:r>
        <w:rPr>
          <w:b/>
        </w:rPr>
        <w:t xml:space="preserve">13</w:t>
      </w:r>
      <w:r>
        <w:t xml:space="preserve">, (2023).</w:t>
      </w:r>
    </w:p>
    <w:bookmarkEnd w:id="52"/>
    <w:bookmarkStart w:id="54" w:name="ref-LimmaLinearMSmyth2005"/>
    <w:p>
      <w:pPr>
        <w:pStyle w:val="189"/>
      </w:pPr>
      <w:r>
        <w:t xml:space="preserve">2. Smyth, G. K. Limma: Linear models for microarray data. in</w:t>
      </w:r>
      <w:r>
        <w:t xml:space="preserve"> </w:t>
      </w:r>
      <w:r>
        <w:rPr>
          <w:i/>
        </w:rPr>
        <w:t xml:space="preserve">Bioinformatics and Computational Biology Solutions Using R and Bioconductor</w:t>
      </w:r>
      <w:r>
        <w:t xml:space="preserve"> </w:t>
      </w:r>
      <w:r>
        <w:t xml:space="preserve">(eds. Gentleman, R., Carey, V. J., Huber, W., Irizarry, R. A. &amp; Dudoit, S.) 397–420 (Springer-Verlag, 2005). doi:</w:t>
      </w:r>
      <w:hyperlink r:id="rId53">
        <w:r>
          <w:rPr>
            <w:rStyle w:val="24"/>
          </w:rPr>
          <w:t xml:space="preserve">10.1007/0-387-29362-0_23</w:t>
        </w:r>
      </w:hyperlink>
      <w:r>
        <w:t xml:space="preserve">.</w:t>
      </w:r>
    </w:p>
    <w:bookmarkEnd w:id="54"/>
    <w:bookmarkStart w:id="55" w:name="ref-EdgerDifferenChen"/>
    <w:p>
      <w:pPr>
        <w:pStyle w:val="189"/>
      </w:pPr>
      <w:r>
        <w:t xml:space="preserve">3. Chen, Y., McCarthy, D., Ritchie, M., Robinson, M. &amp; Smyth, G. EdgeR: Differential analysis of sequence read count data users guide. 119.</w:t>
      </w:r>
    </w:p>
    <w:bookmarkEnd w:id="55"/>
    <w:bookmarkStart w:id="56" w:name="ref-Mfuzz_a_softwa_Kumar_2007"/>
    <w:p>
      <w:pPr>
        <w:pStyle w:val="189"/>
      </w:pPr>
      <w:r>
        <w:t xml:space="preserve">4. Kumar, L. &amp; E Futschik, M. Mfuzz: A software package for soft clustering of microarray data.</w:t>
      </w:r>
      <w:r>
        <w:t xml:space="preserve"> </w:t>
      </w:r>
      <w:r>
        <w:rPr>
          <w:i/>
        </w:rPr>
        <w:t xml:space="preserve">Bioinformation</w:t>
      </w:r>
      <w:r>
        <w:t xml:space="preserve"> </w:t>
      </w:r>
      <w:r>
        <w:rPr>
          <w:b/>
        </w:rPr>
        <w:t xml:space="preserve">2</w:t>
      </w:r>
      <w:r>
        <w:t xml:space="preserve">, 5–7 (2007).</w:t>
      </w:r>
    </w:p>
    <w:bookmarkEnd w:id="56"/>
    <w:bookmarkStart w:id="57" w:name="ref-ClusterprofilerWuTi2021"/>
    <w:p>
      <w:pPr>
        <w:pStyle w:val="189"/>
      </w:pPr>
      <w:r>
        <w:t xml:space="preserve">5. Wu, T.</w:t>
      </w:r>
      <w:r>
        <w:t xml:space="preserve"> </w:t>
      </w:r>
      <w:r>
        <w:rPr>
          <w:i/>
        </w:rPr>
        <w:t xml:space="preserve">et al.</w:t>
      </w:r>
      <w:r>
        <w:t xml:space="preserve"> </w:t>
      </w:r>
      <w:r>
        <w:t xml:space="preserve">ClusterProfiler 4.0: A universal enrichment tool for interpreting omics data.</w:t>
      </w:r>
      <w:r>
        <w:t xml:space="preserve"> </w:t>
      </w:r>
      <w:r>
        <w:rPr>
          <w:i/>
        </w:rPr>
        <w:t xml:space="preserve">The Innovation</w:t>
      </w:r>
      <w:r>
        <w:t xml:space="preserve"> </w:t>
      </w:r>
      <w:r>
        <w:rPr>
          <w:b/>
        </w:rPr>
        <w:t xml:space="preserve">2</w:t>
      </w:r>
      <w:r>
        <w:t xml:space="preserve">, (2021).</w:t>
      </w:r>
    </w:p>
    <w:bookmarkEnd w:id="57"/>
    <w:bookmarkStart w:id="58" w:name="ref-TcgabiolinksAColapr2015"/>
    <w:p>
      <w:pPr>
        <w:pStyle w:val="189"/>
      </w:pPr>
      <w:r>
        <w:t xml:space="preserve">6. Colaprico, A.</w:t>
      </w:r>
      <w:r>
        <w:t xml:space="preserve"> </w:t>
      </w:r>
      <w:r>
        <w:rPr>
          <w:i/>
        </w:rPr>
        <w:t xml:space="preserve">et al.</w:t>
      </w:r>
      <w:r>
        <w:t xml:space="preserve"> </w:t>
      </w:r>
      <w:r>
        <w:t xml:space="preserve">TCGAbiolinks: An r/bioconductor package for integrative analysis of tcga data.</w:t>
      </w:r>
      <w:r>
        <w:t xml:space="preserve"> </w:t>
      </w:r>
      <w:r>
        <w:rPr>
          <w:i/>
        </w:rPr>
        <w:t xml:space="preserve">Nucleic Acids Research</w:t>
      </w:r>
      <w:r>
        <w:t xml:space="preserve"> </w:t>
      </w:r>
      <w:r>
        <w:rPr>
          <w:b/>
        </w:rPr>
        <w:t xml:space="preserve">44</w:t>
      </w:r>
      <w:r>
        <w:t xml:space="preserve">, (2015).</w:t>
      </w:r>
    </w:p>
    <w:bookmarkEnd w:id="58"/>
    <w:bookmarkStart w:id="59" w:name="ref-EfsAnEnsemblNeuman2017"/>
    <w:p>
      <w:pPr>
        <w:pStyle w:val="189"/>
      </w:pPr>
      <w:r>
        <w:t xml:space="preserve">7. Neumann, U., Genze, N. &amp; Heider, D. EFS: An ensemble feature selection tool implemented as r-package and web-application.</w:t>
      </w:r>
      <w:r>
        <w:t xml:space="preserve"> </w:t>
      </w:r>
      <w:r>
        <w:rPr>
          <w:i/>
        </w:rPr>
        <w:t xml:space="preserve">BioData Mining</w:t>
      </w:r>
      <w:r>
        <w:t xml:space="preserve"> </w:t>
      </w:r>
      <w:r>
        <w:rPr>
          <w:b/>
        </w:rPr>
        <w:t xml:space="preserve">10</w:t>
      </w:r>
      <w:r>
        <w:t xml:space="preserve">, 21 (2017).</w:t>
      </w:r>
    </w:p>
    <w:bookmarkEnd w:id="59"/>
    <w:bookmarkStart w:id="60" w:name="ref-Inferring_tumou_Yoshih_2013"/>
    <w:p>
      <w:pPr>
        <w:pStyle w:val="189"/>
      </w:pPr>
      <w:r>
        <w:t xml:space="preserve">8. Yoshihara, K.</w:t>
      </w:r>
      <w:r>
        <w:t xml:space="preserve"> </w:t>
      </w:r>
      <w:r>
        <w:rPr>
          <w:i/>
        </w:rPr>
        <w:t xml:space="preserve">et al.</w:t>
      </w:r>
      <w:r>
        <w:t xml:space="preserve"> </w:t>
      </w:r>
      <w:r>
        <w:t xml:space="preserve">Inferring tumour purity and stromal and immune cell admixture from expression data.</w:t>
      </w:r>
      <w:r>
        <w:t xml:space="preserve"> </w:t>
      </w:r>
      <w:r>
        <w:rPr>
          <w:i/>
        </w:rPr>
        <w:t xml:space="preserve">Nature communications</w:t>
      </w:r>
      <w:r>
        <w:t xml:space="preserve"> </w:t>
      </w:r>
      <w:r>
        <w:rPr>
          <w:b/>
        </w:rPr>
        <w:t xml:space="preserve">4</w:t>
      </w:r>
      <w:r>
        <w:t xml:space="preserve">, (2013).</w:t>
      </w:r>
    </w:p>
    <w:bookmarkEnd w:id="60"/>
    <w:bookmarkStart w:id="61" w:name="ref-TISIDB_an_inte_Ru_Be_2019"/>
    <w:p>
      <w:pPr>
        <w:pStyle w:val="189"/>
      </w:pPr>
      <w:r>
        <w:t xml:space="preserve">9. Ru, B.</w:t>
      </w:r>
      <w:r>
        <w:t xml:space="preserve"> </w:t>
      </w:r>
      <w:r>
        <w:rPr>
          <w:i/>
        </w:rPr>
        <w:t xml:space="preserve">et al.</w:t>
      </w:r>
      <w:r>
        <w:t xml:space="preserve"> </w:t>
      </w:r>
      <w:r>
        <w:t xml:space="preserve">TISIDB: An integrated repository portal for tumorimmune system interactions.</w:t>
      </w:r>
      <w:r>
        <w:t xml:space="preserve"> </w:t>
      </w:r>
      <w:r>
        <w:rPr>
          <w:i/>
        </w:rPr>
        <w:t xml:space="preserve">Bioinformatics</w:t>
      </w:r>
      <w:r>
        <w:t xml:space="preserve"> </w:t>
      </w:r>
      <w:r>
        <w:rPr>
          <w:b/>
        </w:rPr>
        <w:t xml:space="preserve">35</w:t>
      </w:r>
      <w:r>
        <w:t xml:space="preserve">, 4200–4202 (2019).</w:t>
      </w:r>
    </w:p>
    <w:bookmarkEnd w:id="61"/>
    <w:bookmarkEnd w:id="62"/>
    <w:sectPr>
      <w:headerReference r:id="rId9" w:type="first"/>
      <w:headerReference r:id="rId10" w:type="default"/>
      <w:footerReference r:id="rId11" w:type="default"/>
      <w:type w:val="continuous"/>
      <w:pgSz w:w="11906" w:h="16838"/>
      <w:pgMar w:top="1440" w:right="1800" w:bottom="1440" w:left="1800" w:header="907" w:footer="907" w:gutter="0"/>
      <w:cols w:space="720" w:num="1"/>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57"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XVhmdIAAAAEAQAADwAAAAAAAAABACAAAAAiAAAAZHJzL2Rv&#10;d25yZXYueG1sUEsBAhQAFAAAAAgAh07iQMUOpObOAQAAmAMAAA4AAAAAAAAAAQAgAAAAIQEAAGRy&#10;cy9lMm9Eb2MueG1sUEsFBgAAAAAGAAYAWQEAAGEFA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51"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53"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55"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26" Type="http://schemas.openxmlformats.org/officeDocument/2006/relationships/hyperlink" Target="https://bioconductor.org/packages/release/workflows/vignettes/RNAseq123/inst/doc/limmaWorkflow.html" TargetMode="External"/>
<Relationship Id="rId53" Type="http://schemas.openxmlformats.org/officeDocument/2006/relationships/hyperlink" Target="https://doi.org/10.1007/0-387-29362-0_23" TargetMode="External"/>
<Relationship Id="rId23" Type="http://schemas.openxmlformats.org/officeDocument/2006/relationships/hyperlink" Target="https://www.r-project.org/" TargetMode="External"/>
<Relationship Id="rId54" Type="http://schemas.openxmlformats.org/officeDocument/2006/relationships/image" Target="media/e703bfd09675e32b7d6b404a3675694a2f879528.png"/>
<Relationship Id="rId55" Type="http://schemas.openxmlformats.org/officeDocument/2006/relationships/image" Target="media/dba5941e3c93bc81cf63d0eee5273c1b4d1f00f1.png"/>
<Relationship Id="rId56" Type="http://schemas.openxmlformats.org/officeDocument/2006/relationships/image" Target="media/0026633d46785c83787b5b7a3b42ea8b4bef1f2a.png"/>
<Relationship Id="rId57" Type="http://schemas.openxmlformats.org/officeDocument/2006/relationships/image" Target="media/ce5be482e4a30cf4f8bccffc8260757c463282d9.png"/>
<Relationship Id="rId58" Type="http://schemas.openxmlformats.org/officeDocument/2006/relationships/image" Target="media/36cb1e6f452a8d19d6847c7155df6568f8f7def6.png"/>
<Relationship Id="rId59" Type="http://schemas.openxmlformats.org/officeDocument/2006/relationships/image" Target="media/b1f02f6b4a2de6513726243d8654d12aa5493d75.png"/>
<Relationship Id="rId60" Type="http://schemas.openxmlformats.org/officeDocument/2006/relationships/image" Target="media/5ab9260cae0b1ee58e4f830ef248605ceee5a15d.png"/>
<Relationship Id="rId61" Type="http://schemas.openxmlformats.org/officeDocument/2006/relationships/image" Target="media/b06352b115dc9e4bc2b43e7f90fd4465c89680a2.png"/>
<Relationship Id="rId62" Type="http://schemas.openxmlformats.org/officeDocument/2006/relationships/image" Target="media/09c0ee6b1980f2e2787fd4717510a740b0d36adc.png"/>
<Relationship Id="rId63" Type="http://schemas.openxmlformats.org/officeDocument/2006/relationships/image" Target="media/2cd89b8001781c24d165812727500da05afdaf82.png"/>
<Relationship Id="rId64" Type="http://schemas.openxmlformats.org/officeDocument/2006/relationships/image" Target="media/d12900529d66c7b2f2d3b671dfffafc0a19138f4.png"/>
<Relationship Id="rId65" Type="http://schemas.openxmlformats.org/officeDocument/2006/relationships/image" Target="media/12716c50b25001859c1e6a1e734f008fc88b8c13.png"/>
<Relationship Id="rId66" Type="http://schemas.openxmlformats.org/officeDocument/2006/relationships/image" Target="media/1949f57d77daefb5bb2d8f7a966b6e65a3754fbc.png"/>
<Relationship Id="rId67" Type="http://schemas.openxmlformats.org/officeDocument/2006/relationships/image" Target="media/4934f7dc923520afcfd977ad16db283f19ce3a5b.png"/>
<Relationship Id="rId68" Type="http://schemas.openxmlformats.org/officeDocument/2006/relationships/image" Target="media/bf25d7a055340d09bd0935e19f3b8cf16cb5773c.png"/>
<Relationship Id="rId69" Type="http://schemas.openxmlformats.org/officeDocument/2006/relationships/image" Target="media/3b48c3be226f6dd704a1349663219abaecdfccab.png"/>
<Relationship Id="rId70" Type="http://schemas.openxmlformats.org/officeDocument/2006/relationships/image" Target="media/98f50438ee042e2c1ac0698b20e9b9b6c21bcd2b.png"/>
<Relationship Id="rId71" Type="http://schemas.openxmlformats.org/officeDocument/2006/relationships/image" Target="media/90ea556796caae461b26afd06aafe6f734d79864.png"/>
<Relationship Id="rId72" Type="http://schemas.openxmlformats.org/officeDocument/2006/relationships/image" Target="media/3f457df78b35e71174fabe7203e1177209bf37bd.png"/>
<Relationship Id="rId73" Type="http://schemas.openxmlformats.org/officeDocument/2006/relationships/image" Target="media/2dbf582d2c5086a61b01c77f2843000aff0a15c6.png"/>
<Relationship Id="rId74" Type="http://schemas.openxmlformats.org/officeDocument/2006/relationships/image" Target="media/cd9df7030b3b09eca3740b3c55d0b6715bfb9190.png"/>
<Relationship Id="rId75" Type="http://schemas.openxmlformats.org/officeDocument/2006/relationships/image" Target="media/b881a164eee15a9da4fd993ae7a3be203f606f84.png"/>
<Relationship Id="rId76" Type="http://schemas.openxmlformats.org/officeDocument/2006/relationships/image" Target="media/da25685f06fc98b854ac1da77ed1c38df650892e.png"/>
<Relationship Id="rId77" Type="http://schemas.openxmlformats.org/officeDocument/2006/relationships/image" Target="media/035e801cd65ba7bc87fd80f3d1b6e769e1d7059d.png"/>
<Relationship Id="rId78" Type="http://schemas.openxmlformats.org/officeDocument/2006/relationships/image" Target="media/64f61c88888f9eda6d4772452b0b6ed1d5af57e2.png"/>
</Relationships>

</file>

<file path=word/_rels/footnotes.xml.rels><?xml version="1.0" encoding="UTF-8" standalone="yes"?>

<Relationships  xmlns="http://schemas.openxmlformats.org/package/2006/relationships">
<Relationship Id="rId26" Type="http://schemas.openxmlformats.org/officeDocument/2006/relationships/hyperlink" Target="https://bioconductor.org/packages/release/workflows/vignettes/RNAseq123/inst/doc/limmaWorkflow.html" TargetMode="External"/>
<Relationship Id="rId53" Type="http://schemas.openxmlformats.org/officeDocument/2006/relationships/hyperlink" Target="https://doi.org/10.1007/0-387-29362-0_23" TargetMode="External"/>
<Relationship Id="rId23" Type="http://schemas.openxmlformats.org/officeDocument/2006/relationships/hyperlink" Target="https://www.r-project.org/" TargetMode="External"/>
</Relationships>

</file>

<file path=word/_rels/header1.xml.rels><?xml version="1.0" encoding="UTF-8" standalone="yes"?>

<Relationships  xmlns="http://schemas.openxmlformats.org/package/2006/relationships">
<Relationship Id="rId1" Type="http://schemas.openxmlformats.org/officeDocument/2006/relationships/image" Target="media/image1.jpeg"/>
</Relationships>

</file>

<file path=word/_rels/header2.xml.rels><?xml version="1.0" encoding="UTF-8" standalone="yes"?>

<Relationships  xmlns="http://schemas.openxmlformats.org/package/2006/relationships">
<Relationship Id="rId2" Type="http://schemas.openxmlformats.org/officeDocument/2006/relationships/image" Target="media/image1.jpeg"/>
<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TotalTime>3</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2024-11-28T10:10:23Z</dcterms:created>
  <dcterms:modified xsi:type="dcterms:W3CDTF">2024-11-28T18:10:24Z</dcterms:modified>
  <cp:lastModifiedBy>echo</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ies>
</file>